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1A" w:rsidRDefault="00D25A1A" w:rsidP="00D25A1A">
      <w:pPr>
        <w:ind w:right="-1134"/>
        <w:rPr>
          <w:rFonts w:ascii="Traditional Arabic" w:eastAsia="Times New Roman" w:hAnsi="Traditional Arabic" w:cs="Traditional Arabic"/>
          <w:sz w:val="36"/>
          <w:szCs w:val="36"/>
          <w:rtl/>
        </w:rPr>
      </w:pPr>
      <w:r>
        <w:rPr>
          <w:rFonts w:ascii="Traditional Arabic" w:eastAsia="Times New Roman" w:hAnsi="Traditional Arabic" w:cs="Traditional Arabic" w:hint="cs"/>
          <w:noProof/>
          <w:sz w:val="32"/>
          <w:szCs w:val="32"/>
          <w:rtl/>
        </w:rPr>
        <w:drawing>
          <wp:anchor distT="0" distB="0" distL="114300" distR="114300" simplePos="0" relativeHeight="251658240" behindDoc="0" locked="0" layoutInCell="1" allowOverlap="1">
            <wp:simplePos x="0" y="0"/>
            <wp:positionH relativeFrom="column">
              <wp:posOffset>-135122</wp:posOffset>
            </wp:positionH>
            <wp:positionV relativeFrom="paragraph">
              <wp:posOffset>4914</wp:posOffset>
            </wp:positionV>
            <wp:extent cx="1387933" cy="1447918"/>
            <wp:effectExtent l="19050" t="19050" r="21767" b="18932"/>
            <wp:wrapNone/>
            <wp:docPr id="18" name="Picture 2" descr="universite-da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e-damas-2"/>
                    <pic:cNvPicPr>
                      <a:picLocks noChangeAspect="1" noChangeArrowheads="1"/>
                    </pic:cNvPicPr>
                  </pic:nvPicPr>
                  <pic:blipFill>
                    <a:blip r:embed="rId8" cstate="print">
                      <a:grayscl/>
                    </a:blip>
                    <a:srcRect/>
                    <a:stretch>
                      <a:fillRect/>
                    </a:stretch>
                  </pic:blipFill>
                  <pic:spPr bwMode="auto">
                    <a:xfrm>
                      <a:off x="0" y="0"/>
                      <a:ext cx="1387933" cy="1447918"/>
                    </a:xfrm>
                    <a:prstGeom prst="rect">
                      <a:avLst/>
                    </a:prstGeom>
                    <a:noFill/>
                    <a:ln w="9525">
                      <a:solidFill>
                        <a:srgbClr val="000000"/>
                      </a:solidFill>
                      <a:miter lim="800000"/>
                      <a:headEnd/>
                      <a:tailEnd/>
                    </a:ln>
                  </pic:spPr>
                </pic:pic>
              </a:graphicData>
            </a:graphic>
          </wp:anchor>
        </w:drawing>
      </w:r>
      <w:r>
        <w:rPr>
          <w:rFonts w:ascii="Traditional Arabic" w:eastAsia="Times New Roman" w:hAnsi="Traditional Arabic" w:cs="Traditional Arabic" w:hint="cs"/>
          <w:sz w:val="36"/>
          <w:szCs w:val="36"/>
          <w:rtl/>
        </w:rPr>
        <w:t>جامعة دمشق</w:t>
      </w:r>
    </w:p>
    <w:p w:rsidR="00D25A1A" w:rsidRDefault="00D25A1A" w:rsidP="00D25A1A">
      <w:pPr>
        <w:ind w:right="-1134"/>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كلية الاقتصاد</w:t>
      </w:r>
    </w:p>
    <w:p w:rsidR="00B52C5C" w:rsidRPr="00966167" w:rsidRDefault="00D25A1A" w:rsidP="00D25A1A">
      <w:pPr>
        <w:ind w:right="-1134"/>
        <w:rPr>
          <w:rFonts w:ascii="Traditional Arabic" w:eastAsia="Times New Roman" w:hAnsi="Traditional Arabic" w:cs="Traditional Arabic"/>
          <w:rtl/>
        </w:rPr>
      </w:pPr>
      <w:r>
        <w:rPr>
          <w:rFonts w:ascii="Traditional Arabic" w:eastAsia="Times New Roman" w:hAnsi="Traditional Arabic" w:cs="Traditional Arabic" w:hint="cs"/>
          <w:sz w:val="36"/>
          <w:szCs w:val="36"/>
          <w:rtl/>
        </w:rPr>
        <w:t>ماجستير إدارة الأعمال</w:t>
      </w:r>
      <w:r>
        <w:rPr>
          <w:rFonts w:ascii="Traditional Arabic" w:eastAsia="Times New Roman" w:hAnsi="Traditional Arabic" w:cs="Traditional Arabic" w:hint="cs"/>
          <w:sz w:val="32"/>
          <w:szCs w:val="32"/>
          <w:rtl/>
        </w:rPr>
        <w:t xml:space="preserve">                </w:t>
      </w:r>
      <w:r w:rsidR="00B52C5C" w:rsidRPr="00966167">
        <w:rPr>
          <w:rFonts w:ascii="Traditional Arabic" w:eastAsia="Times New Roman" w:hAnsi="Traditional Arabic" w:cs="Traditional Arabic"/>
          <w:sz w:val="32"/>
          <w:szCs w:val="32"/>
        </w:rPr>
        <w:t xml:space="preserve">                                                               </w:t>
      </w:r>
    </w:p>
    <w:p w:rsidR="00B52C5C" w:rsidRPr="00966167" w:rsidRDefault="00B52C5C" w:rsidP="00D25A1A">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w:t>
      </w:r>
    </w:p>
    <w:p w:rsidR="00B52C5C" w:rsidRDefault="00B52C5C" w:rsidP="00B52C5C">
      <w:pPr>
        <w:rPr>
          <w:rFonts w:ascii="Traditional Arabic" w:eastAsia="Times New Roman" w:hAnsi="Traditional Arabic" w:cs="Traditional Arabic"/>
          <w:b/>
          <w:bCs/>
          <w:sz w:val="32"/>
          <w:szCs w:val="32"/>
          <w:rtl/>
        </w:rPr>
      </w:pPr>
      <w:r w:rsidRPr="00966167">
        <w:rPr>
          <w:rFonts w:ascii="Traditional Arabic" w:eastAsia="Times New Roman" w:hAnsi="Traditional Arabic" w:cs="Traditional Arabic"/>
          <w:b/>
          <w:bCs/>
          <w:sz w:val="32"/>
          <w:szCs w:val="32"/>
        </w:rPr>
        <w:t> </w:t>
      </w:r>
    </w:p>
    <w:p w:rsidR="00D25A1A" w:rsidRDefault="00D25A1A" w:rsidP="00B52C5C">
      <w:pPr>
        <w:rPr>
          <w:rFonts w:ascii="Traditional Arabic" w:eastAsia="Times New Roman" w:hAnsi="Traditional Arabic" w:cs="Traditional Arabic"/>
          <w:b/>
          <w:bCs/>
          <w:sz w:val="32"/>
          <w:szCs w:val="32"/>
          <w:rtl/>
        </w:rPr>
      </w:pPr>
    </w:p>
    <w:p w:rsidR="00D25A1A" w:rsidRPr="00966167" w:rsidRDefault="00D25A1A" w:rsidP="00B52C5C">
      <w:pPr>
        <w:rPr>
          <w:rFonts w:ascii="Traditional Arabic" w:eastAsia="Times New Roman" w:hAnsi="Traditional Arabic" w:cs="Traditional Arabic"/>
          <w:rtl/>
        </w:rPr>
      </w:pPr>
    </w:p>
    <w:p w:rsidR="00B52C5C" w:rsidRPr="00D25A1A" w:rsidRDefault="00B52C5C" w:rsidP="00B52C5C">
      <w:pPr>
        <w:jc w:val="center"/>
        <w:rPr>
          <w:rFonts w:ascii="Traditional Arabic" w:eastAsia="Times New Roman" w:hAnsi="Traditional Arabic" w:cs="DecoType Naskh Variants"/>
          <w:b/>
          <w:bCs/>
          <w:rtl/>
        </w:rPr>
      </w:pPr>
      <w:r w:rsidRPr="00D25A1A">
        <w:rPr>
          <w:rFonts w:ascii="Traditional Arabic" w:eastAsia="Times New Roman" w:hAnsi="Traditional Arabic" w:cs="DecoType Naskh Variants"/>
          <w:b/>
          <w:bCs/>
          <w:sz w:val="72"/>
          <w:szCs w:val="72"/>
          <w:rtl/>
        </w:rPr>
        <w:t>إدارة</w:t>
      </w:r>
      <w:r w:rsidR="00B12C6C">
        <w:rPr>
          <w:rFonts w:ascii="Traditional Arabic" w:eastAsia="Times New Roman" w:hAnsi="Traditional Arabic" w:cs="DecoType Naskh Variants" w:hint="cs"/>
          <w:b/>
          <w:bCs/>
          <w:sz w:val="72"/>
          <w:szCs w:val="72"/>
          <w:rtl/>
        </w:rPr>
        <w:t xml:space="preserve"> </w:t>
      </w:r>
      <w:r w:rsidRPr="00D25A1A">
        <w:rPr>
          <w:rFonts w:ascii="Traditional Arabic" w:eastAsia="Times New Roman" w:hAnsi="Traditional Arabic" w:cs="DecoType Naskh Variants"/>
          <w:b/>
          <w:bCs/>
          <w:sz w:val="72"/>
          <w:szCs w:val="72"/>
          <w:rtl/>
        </w:rPr>
        <w:t>الص</w:t>
      </w:r>
      <w:r w:rsidR="00B12C6C">
        <w:rPr>
          <w:rFonts w:ascii="Traditional Arabic" w:eastAsia="Times New Roman" w:hAnsi="Traditional Arabic" w:cs="DecoType Naskh Variants" w:hint="cs"/>
          <w:b/>
          <w:bCs/>
          <w:sz w:val="72"/>
          <w:szCs w:val="72"/>
          <w:rtl/>
          <w:lang w:bidi="ar-SY"/>
        </w:rPr>
        <w:t>َ</w:t>
      </w:r>
      <w:r w:rsidRPr="00D25A1A">
        <w:rPr>
          <w:rFonts w:ascii="Traditional Arabic" w:eastAsia="Times New Roman" w:hAnsi="Traditional Arabic" w:cs="DecoType Naskh Variants"/>
          <w:b/>
          <w:bCs/>
          <w:sz w:val="72"/>
          <w:szCs w:val="72"/>
          <w:rtl/>
        </w:rPr>
        <w:t xml:space="preserve">ناديق </w:t>
      </w:r>
      <w:r w:rsidR="00485F25">
        <w:rPr>
          <w:rFonts w:ascii="Traditional Arabic" w:eastAsia="Times New Roman" w:hAnsi="Traditional Arabic" w:cs="DecoType Naskh Variants"/>
          <w:b/>
          <w:bCs/>
          <w:sz w:val="72"/>
          <w:szCs w:val="72"/>
          <w:rtl/>
        </w:rPr>
        <w:t>السياديَّة</w:t>
      </w:r>
      <w:r w:rsidRPr="00D25A1A">
        <w:rPr>
          <w:rFonts w:ascii="Traditional Arabic" w:eastAsia="Times New Roman" w:hAnsi="Traditional Arabic" w:cs="DecoType Naskh Variants"/>
          <w:b/>
          <w:bCs/>
          <w:sz w:val="72"/>
          <w:szCs w:val="72"/>
          <w:rtl/>
        </w:rPr>
        <w:t xml:space="preserve"> وص</w:t>
      </w:r>
      <w:r w:rsidR="00B12C6C">
        <w:rPr>
          <w:rFonts w:ascii="Traditional Arabic" w:eastAsia="Times New Roman" w:hAnsi="Traditional Arabic" w:cs="DecoType Naskh Variants" w:hint="cs"/>
          <w:b/>
          <w:bCs/>
          <w:sz w:val="72"/>
          <w:szCs w:val="72"/>
          <w:rtl/>
        </w:rPr>
        <w:t>َ</w:t>
      </w:r>
      <w:r w:rsidRPr="00D25A1A">
        <w:rPr>
          <w:rFonts w:ascii="Traditional Arabic" w:eastAsia="Times New Roman" w:hAnsi="Traditional Arabic" w:cs="DecoType Naskh Variants"/>
          <w:b/>
          <w:bCs/>
          <w:sz w:val="72"/>
          <w:szCs w:val="72"/>
          <w:rtl/>
        </w:rPr>
        <w:t xml:space="preserve">ناديق </w:t>
      </w:r>
      <w:r w:rsidR="00485F25">
        <w:rPr>
          <w:rFonts w:ascii="Traditional Arabic" w:eastAsia="Times New Roman" w:hAnsi="Traditional Arabic" w:cs="DecoType Naskh Variants"/>
          <w:b/>
          <w:bCs/>
          <w:sz w:val="72"/>
          <w:szCs w:val="72"/>
          <w:rtl/>
        </w:rPr>
        <w:t>الت</w:t>
      </w:r>
      <w:r w:rsidR="005202E9">
        <w:rPr>
          <w:rFonts w:ascii="Traditional Arabic" w:eastAsia="Times New Roman" w:hAnsi="Traditional Arabic" w:cs="DecoType Naskh Variants" w:hint="cs"/>
          <w:b/>
          <w:bCs/>
          <w:sz w:val="72"/>
          <w:szCs w:val="72"/>
          <w:rtl/>
        </w:rPr>
        <w:t>َ</w:t>
      </w:r>
      <w:r w:rsidR="00485F25">
        <w:rPr>
          <w:rFonts w:ascii="Traditional Arabic" w:eastAsia="Times New Roman" w:hAnsi="Traditional Arabic" w:cs="DecoType Naskh Variants"/>
          <w:b/>
          <w:bCs/>
          <w:sz w:val="72"/>
          <w:szCs w:val="72"/>
          <w:rtl/>
        </w:rPr>
        <w:t>حوُّط</w:t>
      </w:r>
    </w:p>
    <w:p w:rsidR="00B52C5C" w:rsidRPr="00966167" w:rsidRDefault="00B52C5C" w:rsidP="00D25A1A">
      <w:pPr>
        <w:jc w:val="center"/>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Pr>
        <w:t> </w:t>
      </w:r>
    </w:p>
    <w:p w:rsidR="00B52C5C" w:rsidRPr="00966167" w:rsidRDefault="00B52C5C" w:rsidP="00B52C5C">
      <w:pPr>
        <w:jc w:val="center"/>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Pr>
        <w:t> </w:t>
      </w:r>
    </w:p>
    <w:p w:rsidR="00D25A1A" w:rsidRDefault="00D25A1A" w:rsidP="00D25A1A">
      <w:pPr>
        <w:jc w:val="center"/>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إعداد</w:t>
      </w:r>
    </w:p>
    <w:p w:rsidR="00B52C5C" w:rsidRPr="00B12C6C" w:rsidRDefault="00B52C5C" w:rsidP="00B12C6C">
      <w:pPr>
        <w:jc w:val="center"/>
        <w:rPr>
          <w:rFonts w:ascii="Traditional Arabic" w:eastAsia="Times New Roman" w:hAnsi="Traditional Arabic" w:cs="DecoType Naskh Variants"/>
          <w:rtl/>
        </w:rPr>
      </w:pPr>
      <w:r w:rsidRPr="00966167">
        <w:rPr>
          <w:rFonts w:ascii="Traditional Arabic" w:eastAsia="Times New Roman" w:hAnsi="Traditional Arabic" w:cs="Traditional Arabic"/>
          <w:b/>
          <w:bCs/>
          <w:sz w:val="32"/>
          <w:szCs w:val="32"/>
        </w:rPr>
        <w:t> </w:t>
      </w:r>
      <w:r w:rsidR="00D25A1A" w:rsidRPr="00B12C6C">
        <w:rPr>
          <w:rFonts w:ascii="Traditional Arabic" w:eastAsia="Times New Roman" w:hAnsi="Traditional Arabic" w:cs="DecoType Naskh Variants" w:hint="cs"/>
          <w:b/>
          <w:bCs/>
          <w:sz w:val="52"/>
          <w:szCs w:val="52"/>
          <w:rtl/>
        </w:rPr>
        <w:t>ع</w:t>
      </w:r>
      <w:r w:rsidR="00F839E3" w:rsidRPr="00B12C6C">
        <w:rPr>
          <w:rFonts w:ascii="Traditional Arabic" w:eastAsia="Times New Roman" w:hAnsi="Traditional Arabic" w:cs="DecoType Naskh Variants" w:hint="cs"/>
          <w:b/>
          <w:bCs/>
          <w:sz w:val="52"/>
          <w:szCs w:val="52"/>
          <w:rtl/>
        </w:rPr>
        <w:t>َ</w:t>
      </w:r>
      <w:r w:rsidR="00D25A1A" w:rsidRPr="00B12C6C">
        <w:rPr>
          <w:rFonts w:ascii="Traditional Arabic" w:eastAsia="Times New Roman" w:hAnsi="Traditional Arabic" w:cs="DecoType Naskh Variants" w:hint="cs"/>
          <w:b/>
          <w:bCs/>
          <w:sz w:val="52"/>
          <w:szCs w:val="52"/>
          <w:rtl/>
        </w:rPr>
        <w:t>بد الر</w:t>
      </w:r>
      <w:r w:rsidR="00485F25" w:rsidRPr="00B12C6C">
        <w:rPr>
          <w:rFonts w:ascii="Traditional Arabic" w:eastAsia="Times New Roman" w:hAnsi="Traditional Arabic" w:cs="DecoType Naskh Variants" w:hint="cs"/>
          <w:b/>
          <w:bCs/>
          <w:sz w:val="52"/>
          <w:szCs w:val="52"/>
          <w:rtl/>
        </w:rPr>
        <w:t>َّ</w:t>
      </w:r>
      <w:r w:rsidR="00D25A1A" w:rsidRPr="00B12C6C">
        <w:rPr>
          <w:rFonts w:ascii="Traditional Arabic" w:eastAsia="Times New Roman" w:hAnsi="Traditional Arabic" w:cs="DecoType Naskh Variants" w:hint="cs"/>
          <w:b/>
          <w:bCs/>
          <w:sz w:val="52"/>
          <w:szCs w:val="52"/>
          <w:rtl/>
        </w:rPr>
        <w:t>حم</w:t>
      </w:r>
      <w:r w:rsidR="00F839E3" w:rsidRPr="00B12C6C">
        <w:rPr>
          <w:rFonts w:ascii="Traditional Arabic" w:eastAsia="Times New Roman" w:hAnsi="Traditional Arabic" w:cs="DecoType Naskh Variants"/>
          <w:b/>
          <w:bCs/>
          <w:sz w:val="52"/>
          <w:szCs w:val="52"/>
          <w:rtl/>
        </w:rPr>
        <w:t>ٰ</w:t>
      </w:r>
      <w:r w:rsidR="00D25A1A" w:rsidRPr="00B12C6C">
        <w:rPr>
          <w:rFonts w:ascii="Traditional Arabic" w:eastAsia="Times New Roman" w:hAnsi="Traditional Arabic" w:cs="DecoType Naskh Variants" w:hint="cs"/>
          <w:b/>
          <w:bCs/>
          <w:sz w:val="52"/>
          <w:szCs w:val="52"/>
          <w:rtl/>
        </w:rPr>
        <w:t>ن س</w:t>
      </w:r>
      <w:r w:rsidR="00485F25" w:rsidRPr="00B12C6C">
        <w:rPr>
          <w:rFonts w:ascii="Traditional Arabic" w:eastAsia="Times New Roman" w:hAnsi="Traditional Arabic" w:cs="DecoType Naskh Variants" w:hint="cs"/>
          <w:b/>
          <w:bCs/>
          <w:sz w:val="52"/>
          <w:szCs w:val="52"/>
          <w:rtl/>
        </w:rPr>
        <w:t>َ</w:t>
      </w:r>
      <w:r w:rsidR="00D25A1A" w:rsidRPr="00B12C6C">
        <w:rPr>
          <w:rFonts w:ascii="Traditional Arabic" w:eastAsia="Times New Roman" w:hAnsi="Traditional Arabic" w:cs="DecoType Naskh Variants" w:hint="cs"/>
          <w:b/>
          <w:bCs/>
          <w:sz w:val="52"/>
          <w:szCs w:val="52"/>
          <w:rtl/>
        </w:rPr>
        <w:t>لُّوم</w:t>
      </w:r>
    </w:p>
    <w:p w:rsidR="00D25A1A" w:rsidRDefault="00B52C5C" w:rsidP="00D25A1A">
      <w:pPr>
        <w:jc w:val="center"/>
        <w:rPr>
          <w:rFonts w:ascii="Traditional Arabic" w:eastAsia="Times New Roman" w:hAnsi="Traditional Arabic" w:cs="Traditional Arabic"/>
          <w:b/>
          <w:bCs/>
          <w:sz w:val="32"/>
          <w:szCs w:val="32"/>
          <w:rtl/>
        </w:rPr>
      </w:pPr>
      <w:r w:rsidRPr="00966167">
        <w:rPr>
          <w:rFonts w:ascii="Traditional Arabic" w:eastAsia="Times New Roman" w:hAnsi="Traditional Arabic" w:cs="Traditional Arabic"/>
          <w:b/>
          <w:bCs/>
          <w:sz w:val="32"/>
          <w:szCs w:val="32"/>
          <w:rtl/>
        </w:rPr>
        <w:t>إشراف</w:t>
      </w:r>
    </w:p>
    <w:p w:rsidR="00B52C5C" w:rsidRDefault="00D25A1A" w:rsidP="00D25A1A">
      <w:pPr>
        <w:jc w:val="center"/>
        <w:rPr>
          <w:rFonts w:ascii="Traditional Arabic" w:eastAsia="Times New Roman" w:hAnsi="Traditional Arabic" w:cs="Traditional Arabic"/>
          <w:b/>
          <w:bCs/>
          <w:sz w:val="48"/>
          <w:szCs w:val="48"/>
          <w:rtl/>
        </w:rPr>
      </w:pPr>
      <w:r w:rsidRPr="00B12C6C">
        <w:rPr>
          <w:rFonts w:ascii="Traditional Arabic" w:eastAsia="Times New Roman" w:hAnsi="Traditional Arabic" w:cs="DecoType Naskh Variants"/>
          <w:b/>
          <w:bCs/>
          <w:sz w:val="52"/>
          <w:szCs w:val="52"/>
          <w:rtl/>
        </w:rPr>
        <w:t>د.</w:t>
      </w:r>
      <w:r w:rsidR="00B52C5C" w:rsidRPr="00B12C6C">
        <w:rPr>
          <w:rFonts w:ascii="Traditional Arabic" w:eastAsia="Times New Roman" w:hAnsi="Traditional Arabic" w:cs="DecoType Naskh Variants"/>
          <w:b/>
          <w:bCs/>
          <w:sz w:val="52"/>
          <w:szCs w:val="52"/>
          <w:rtl/>
        </w:rPr>
        <w:t>م</w:t>
      </w:r>
      <w:r w:rsidR="00485F25" w:rsidRPr="00B12C6C">
        <w:rPr>
          <w:rFonts w:ascii="Traditional Arabic" w:eastAsia="Times New Roman" w:hAnsi="Traditional Arabic" w:cs="DecoType Naskh Variants" w:hint="cs"/>
          <w:b/>
          <w:bCs/>
          <w:sz w:val="52"/>
          <w:szCs w:val="52"/>
          <w:rtl/>
        </w:rPr>
        <w:t>ُ</w:t>
      </w:r>
      <w:r w:rsidR="00B52C5C" w:rsidRPr="00B12C6C">
        <w:rPr>
          <w:rFonts w:ascii="Traditional Arabic" w:eastAsia="Times New Roman" w:hAnsi="Traditional Arabic" w:cs="DecoType Naskh Variants"/>
          <w:b/>
          <w:bCs/>
          <w:sz w:val="52"/>
          <w:szCs w:val="52"/>
          <w:rtl/>
        </w:rPr>
        <w:t>حم</w:t>
      </w:r>
      <w:r w:rsidR="00485F25" w:rsidRPr="00B12C6C">
        <w:rPr>
          <w:rFonts w:ascii="Traditional Arabic" w:eastAsia="Times New Roman" w:hAnsi="Traditional Arabic" w:cs="DecoType Naskh Variants" w:hint="cs"/>
          <w:b/>
          <w:bCs/>
          <w:sz w:val="52"/>
          <w:szCs w:val="52"/>
          <w:rtl/>
        </w:rPr>
        <w:t>َّ</w:t>
      </w:r>
      <w:r w:rsidR="00B52C5C" w:rsidRPr="00B12C6C">
        <w:rPr>
          <w:rFonts w:ascii="Traditional Arabic" w:eastAsia="Times New Roman" w:hAnsi="Traditional Arabic" w:cs="DecoType Naskh Variants"/>
          <w:b/>
          <w:bCs/>
          <w:sz w:val="52"/>
          <w:szCs w:val="52"/>
          <w:rtl/>
        </w:rPr>
        <w:t>د الح</w:t>
      </w:r>
      <w:r w:rsidR="00485F25" w:rsidRPr="00B12C6C">
        <w:rPr>
          <w:rFonts w:ascii="Traditional Arabic" w:eastAsia="Times New Roman" w:hAnsi="Traditional Arabic" w:cs="DecoType Naskh Variants" w:hint="cs"/>
          <w:b/>
          <w:bCs/>
          <w:sz w:val="52"/>
          <w:szCs w:val="52"/>
          <w:rtl/>
        </w:rPr>
        <w:t>ُ</w:t>
      </w:r>
      <w:r w:rsidR="00B52C5C" w:rsidRPr="00B12C6C">
        <w:rPr>
          <w:rFonts w:ascii="Traditional Arabic" w:eastAsia="Times New Roman" w:hAnsi="Traditional Arabic" w:cs="DecoType Naskh Variants"/>
          <w:b/>
          <w:bCs/>
          <w:sz w:val="52"/>
          <w:szCs w:val="52"/>
          <w:rtl/>
        </w:rPr>
        <w:t>س</w:t>
      </w:r>
      <w:r w:rsidR="00485F25" w:rsidRPr="00B12C6C">
        <w:rPr>
          <w:rFonts w:ascii="Traditional Arabic" w:eastAsia="Times New Roman" w:hAnsi="Traditional Arabic" w:cs="DecoType Naskh Variants" w:hint="cs"/>
          <w:b/>
          <w:bCs/>
          <w:sz w:val="52"/>
          <w:szCs w:val="52"/>
          <w:rtl/>
        </w:rPr>
        <w:t>َ</w:t>
      </w:r>
      <w:r w:rsidR="00B52C5C" w:rsidRPr="00B12C6C">
        <w:rPr>
          <w:rFonts w:ascii="Traditional Arabic" w:eastAsia="Times New Roman" w:hAnsi="Traditional Arabic" w:cs="DecoType Naskh Variants"/>
          <w:b/>
          <w:bCs/>
          <w:sz w:val="52"/>
          <w:szCs w:val="52"/>
          <w:rtl/>
        </w:rPr>
        <w:t>ين</w:t>
      </w:r>
    </w:p>
    <w:p w:rsidR="00D25A1A" w:rsidRPr="00966167" w:rsidRDefault="00D25A1A" w:rsidP="00D25A1A">
      <w:pPr>
        <w:jc w:val="center"/>
        <w:rPr>
          <w:rFonts w:ascii="Traditional Arabic" w:eastAsia="Times New Roman" w:hAnsi="Traditional Arabic" w:cs="Traditional Arabic"/>
          <w:rtl/>
        </w:rPr>
      </w:pPr>
    </w:p>
    <w:p w:rsidR="00B52C5C" w:rsidRPr="00966167" w:rsidRDefault="00D25A1A" w:rsidP="00D25A1A">
      <w:pPr>
        <w:jc w:val="center"/>
        <w:rPr>
          <w:rFonts w:ascii="Traditional Arabic" w:eastAsia="Times New Roman" w:hAnsi="Traditional Arabic" w:cs="Traditional Arabic"/>
          <w:rtl/>
        </w:rPr>
      </w:pPr>
      <w:r>
        <w:rPr>
          <w:rFonts w:ascii="Traditional Arabic" w:eastAsia="Times New Roman" w:hAnsi="Traditional Arabic" w:cs="Traditional Arabic" w:hint="cs"/>
          <w:sz w:val="32"/>
          <w:szCs w:val="32"/>
          <w:rtl/>
        </w:rPr>
        <w:t>2009 - 2010</w:t>
      </w:r>
    </w:p>
    <w:p w:rsidR="00485F25" w:rsidRPr="00485F25" w:rsidRDefault="00D25A1A" w:rsidP="00485F25">
      <w:pPr>
        <w:jc w:val="center"/>
        <w:rPr>
          <w:rFonts w:ascii="Traditional Arabic" w:eastAsia="Times New Roman" w:hAnsi="Traditional Arabic" w:cs="Traditional Arabic"/>
          <w:sz w:val="40"/>
          <w:szCs w:val="40"/>
          <w:rtl/>
        </w:rPr>
      </w:pPr>
      <w:r w:rsidRPr="00F839E3">
        <w:rPr>
          <w:rFonts w:ascii="Traditional Arabic" w:eastAsia="Times New Roman" w:hAnsi="Traditional Arabic" w:cs="Traditional Arabic" w:hint="cs"/>
          <w:sz w:val="40"/>
          <w:szCs w:val="40"/>
          <w:rtl/>
        </w:rPr>
        <w:lastRenderedPageBreak/>
        <w:t>قائمة المحتويات</w:t>
      </w:r>
    </w:p>
    <w:p w:rsidR="00F839E3" w:rsidRPr="00485F25" w:rsidRDefault="00F839E3" w:rsidP="00485F25">
      <w:pPr>
        <w:pStyle w:val="a3"/>
        <w:numPr>
          <w:ilvl w:val="0"/>
          <w:numId w:val="1"/>
        </w:numPr>
        <w:tabs>
          <w:tab w:val="right" w:pos="850"/>
          <w:tab w:val="right" w:pos="1134"/>
        </w:tabs>
        <w:spacing w:line="240" w:lineRule="auto"/>
        <w:ind w:left="850" w:hanging="141"/>
        <w:jc w:val="both"/>
        <w:rPr>
          <w:rFonts w:ascii="Traditional Arabic" w:hAnsi="Traditional Arabic" w:cs="Traditional Arabic"/>
          <w:sz w:val="32"/>
          <w:szCs w:val="32"/>
          <w:rtl/>
        </w:rPr>
      </w:pPr>
      <w:r w:rsidRPr="00485F25">
        <w:rPr>
          <w:rFonts w:ascii="Traditional Arabic" w:hAnsi="Traditional Arabic" w:cs="Traditional Arabic" w:hint="cs"/>
          <w:sz w:val="32"/>
          <w:szCs w:val="32"/>
          <w:rtl/>
        </w:rPr>
        <w:t xml:space="preserve">الفصل الأول : </w:t>
      </w:r>
      <w:r w:rsidRPr="00485F25">
        <w:rPr>
          <w:rFonts w:ascii="Traditional Arabic" w:hAnsi="Traditional Arabic" w:cs="Traditional Arabic" w:hint="cs"/>
          <w:b/>
          <w:bCs/>
          <w:sz w:val="32"/>
          <w:szCs w:val="32"/>
          <w:rtl/>
        </w:rPr>
        <w:t xml:space="preserve">الصناديق </w:t>
      </w:r>
      <w:r w:rsidR="00485F25" w:rsidRPr="00485F25">
        <w:rPr>
          <w:rFonts w:ascii="Traditional Arabic" w:hAnsi="Traditional Arabic" w:cs="Traditional Arabic" w:hint="cs"/>
          <w:b/>
          <w:bCs/>
          <w:sz w:val="32"/>
          <w:szCs w:val="32"/>
          <w:rtl/>
        </w:rPr>
        <w:t>السياديَّة</w:t>
      </w:r>
    </w:p>
    <w:p w:rsidR="00BE5462" w:rsidRPr="00F839E3" w:rsidRDefault="00F839E3" w:rsidP="00485F25">
      <w:pPr>
        <w:spacing w:line="240" w:lineRule="auto"/>
        <w:ind w:left="709"/>
        <w:jc w:val="both"/>
        <w:rPr>
          <w:rFonts w:ascii="Traditional Arabic" w:hAnsi="Traditional Arabic" w:cs="Traditional Arabic"/>
          <w:rtl/>
          <w:lang w:bidi="ar-SY"/>
        </w:rPr>
      </w:pPr>
      <w:r>
        <w:rPr>
          <w:rFonts w:ascii="Traditional Arabic" w:hAnsi="Traditional Arabic" w:cs="Traditional Arabic" w:hint="cs"/>
          <w:sz w:val="32"/>
          <w:szCs w:val="32"/>
          <w:rtl/>
        </w:rPr>
        <w:t>مقدم</w:t>
      </w:r>
      <w:r w:rsidR="00485F25">
        <w:rPr>
          <w:rFonts w:ascii="Traditional Arabic" w:hAnsi="Traditional Arabic" w:cs="Traditional Arabic" w:hint="cs"/>
          <w:sz w:val="32"/>
          <w:szCs w:val="32"/>
          <w:rtl/>
        </w:rPr>
        <w:t>ة</w:t>
      </w:r>
    </w:p>
    <w:p w:rsidR="00BE5462" w:rsidRDefault="00BE5462" w:rsidP="00485F25">
      <w:pPr>
        <w:spacing w:line="240" w:lineRule="auto"/>
        <w:ind w:left="709"/>
        <w:jc w:val="both"/>
        <w:rPr>
          <w:rFonts w:ascii="Traditional Arabic" w:hAnsi="Traditional Arabic" w:cs="Traditional Arabic"/>
          <w:sz w:val="32"/>
          <w:szCs w:val="32"/>
          <w:rtl/>
        </w:rPr>
      </w:pPr>
      <w:r w:rsidRPr="00F839E3">
        <w:rPr>
          <w:rFonts w:ascii="Traditional Arabic" w:hAnsi="Traditional Arabic" w:cs="Traditional Arabic"/>
          <w:sz w:val="32"/>
          <w:szCs w:val="32"/>
          <w:rtl/>
        </w:rPr>
        <w:t>تعريف الصناديق</w:t>
      </w:r>
    </w:p>
    <w:p w:rsidR="00BE5462" w:rsidRPr="00F839E3" w:rsidRDefault="00B12C6C" w:rsidP="005202E9">
      <w:pPr>
        <w:spacing w:line="240" w:lineRule="auto"/>
        <w:ind w:left="709"/>
        <w:jc w:val="both"/>
        <w:rPr>
          <w:rFonts w:ascii="Traditional Arabic" w:hAnsi="Traditional Arabic" w:cs="Traditional Arabic"/>
          <w:rtl/>
        </w:rPr>
      </w:pPr>
      <w:bookmarkStart w:id="0" w:name="OLE_LINK1"/>
      <w:bookmarkStart w:id="1" w:name="OLE_LINK2"/>
      <w:r>
        <w:rPr>
          <w:rFonts w:ascii="Traditional Arabic" w:hAnsi="Traditional Arabic" w:cs="Traditional Arabic" w:hint="cs"/>
          <w:sz w:val="32"/>
          <w:szCs w:val="32"/>
          <w:rtl/>
        </w:rPr>
        <w:t xml:space="preserve">مُلاك </w:t>
      </w:r>
      <w:r w:rsidR="005202E9">
        <w:rPr>
          <w:rFonts w:ascii="Traditional Arabic" w:hAnsi="Traditional Arabic" w:cs="Traditional Arabic" w:hint="cs"/>
          <w:sz w:val="32"/>
          <w:szCs w:val="32"/>
          <w:rtl/>
        </w:rPr>
        <w:t xml:space="preserve">ومصادر أموال </w:t>
      </w:r>
      <w:r>
        <w:rPr>
          <w:rFonts w:ascii="Traditional Arabic" w:hAnsi="Traditional Arabic" w:cs="Traditional Arabic" w:hint="cs"/>
          <w:sz w:val="32"/>
          <w:szCs w:val="32"/>
          <w:rtl/>
        </w:rPr>
        <w:t>صناديق الثروة السيادية</w:t>
      </w:r>
      <w:bookmarkEnd w:id="0"/>
      <w:bookmarkEnd w:id="1"/>
    </w:p>
    <w:p w:rsidR="00BE5462" w:rsidRPr="00714CA0" w:rsidRDefault="0076307D" w:rsidP="00714CA0">
      <w:pPr>
        <w:spacing w:line="240" w:lineRule="auto"/>
        <w:ind w:left="709"/>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أنواع </w:t>
      </w:r>
      <w:r>
        <w:rPr>
          <w:rFonts w:ascii="Traditional Arabic" w:hAnsi="Traditional Arabic" w:cs="Traditional Arabic" w:hint="cs"/>
          <w:sz w:val="32"/>
          <w:szCs w:val="32"/>
          <w:rtl/>
        </w:rPr>
        <w:t>ال</w:t>
      </w:r>
      <w:r>
        <w:rPr>
          <w:rFonts w:ascii="Traditional Arabic" w:hAnsi="Traditional Arabic" w:cs="Traditional Arabic"/>
          <w:sz w:val="32"/>
          <w:szCs w:val="32"/>
          <w:rtl/>
        </w:rPr>
        <w:t xml:space="preserve">صناديق </w:t>
      </w:r>
      <w:r w:rsidR="00485F25">
        <w:rPr>
          <w:rFonts w:ascii="Traditional Arabic" w:hAnsi="Traditional Arabic" w:cs="Traditional Arabic"/>
          <w:sz w:val="32"/>
          <w:szCs w:val="32"/>
          <w:rtl/>
        </w:rPr>
        <w:t>السياديَّة</w:t>
      </w:r>
    </w:p>
    <w:p w:rsidR="00BE5462" w:rsidRDefault="0076307D" w:rsidP="0076307D">
      <w:pPr>
        <w:spacing w:line="240" w:lineRule="auto"/>
        <w:ind w:left="709"/>
        <w:jc w:val="both"/>
        <w:rPr>
          <w:rFonts w:ascii="Traditional Arabic" w:hAnsi="Traditional Arabic" w:cs="Traditional Arabic"/>
          <w:sz w:val="32"/>
          <w:szCs w:val="32"/>
          <w:rtl/>
        </w:rPr>
      </w:pPr>
      <w:r>
        <w:rPr>
          <w:rFonts w:ascii="Traditional Arabic" w:hAnsi="Traditional Arabic" w:cs="Traditional Arabic" w:hint="cs"/>
          <w:sz w:val="32"/>
          <w:szCs w:val="32"/>
          <w:rtl/>
        </w:rPr>
        <w:t>الفرق بين</w:t>
      </w:r>
      <w:r w:rsidR="00BE5462" w:rsidRPr="00F839E3">
        <w:rPr>
          <w:rFonts w:ascii="Traditional Arabic" w:hAnsi="Traditional Arabic" w:cs="Traditional Arabic"/>
          <w:sz w:val="32"/>
          <w:szCs w:val="32"/>
          <w:rtl/>
        </w:rPr>
        <w:t xml:space="preserve"> الصناديق </w:t>
      </w:r>
      <w:r w:rsidR="00485F25">
        <w:rPr>
          <w:rFonts w:ascii="Traditional Arabic" w:hAnsi="Traditional Arabic" w:cs="Traditional Arabic"/>
          <w:sz w:val="32"/>
          <w:szCs w:val="32"/>
          <w:rtl/>
        </w:rPr>
        <w:t>السياديَّة</w:t>
      </w:r>
      <w:r w:rsidR="00BE5462" w:rsidRPr="00F839E3">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BE5462" w:rsidRPr="00F839E3">
        <w:rPr>
          <w:rFonts w:ascii="Traditional Arabic" w:hAnsi="Traditional Arabic" w:cs="Traditional Arabic"/>
          <w:sz w:val="32"/>
          <w:szCs w:val="32"/>
          <w:rtl/>
        </w:rPr>
        <w:t>غيرها من الهيئات المالية الأخرى</w:t>
      </w:r>
    </w:p>
    <w:p w:rsidR="005B2D79" w:rsidRPr="00F839E3" w:rsidRDefault="005B2D79" w:rsidP="0076307D">
      <w:pPr>
        <w:spacing w:line="240" w:lineRule="auto"/>
        <w:ind w:left="709"/>
        <w:jc w:val="both"/>
        <w:rPr>
          <w:rFonts w:ascii="Traditional Arabic" w:hAnsi="Traditional Arabic" w:cs="Traditional Arabic"/>
          <w:sz w:val="32"/>
          <w:szCs w:val="32"/>
          <w:rtl/>
          <w:lang w:bidi="ar-SY"/>
        </w:rPr>
      </w:pPr>
      <w:r>
        <w:rPr>
          <w:rFonts w:ascii="Traditional Arabic" w:hAnsi="Traditional Arabic" w:cs="Traditional Arabic"/>
          <w:sz w:val="32"/>
          <w:szCs w:val="32"/>
          <w:rtl/>
        </w:rPr>
        <w:t>أهم الصناديق السياديَّة في العالم</w:t>
      </w:r>
    </w:p>
    <w:p w:rsidR="00BE5462" w:rsidRPr="005B2D79" w:rsidRDefault="005B2D79" w:rsidP="005B2D79">
      <w:pPr>
        <w:spacing w:line="240" w:lineRule="auto"/>
        <w:ind w:left="709"/>
        <w:jc w:val="both"/>
        <w:rPr>
          <w:rFonts w:ascii="Traditional Arabic" w:hAnsi="Traditional Arabic" w:cs="Traditional Arabic"/>
          <w:sz w:val="32"/>
          <w:szCs w:val="32"/>
          <w:rtl/>
          <w:lang w:bidi="ar-SY"/>
        </w:rPr>
      </w:pPr>
      <w:r>
        <w:rPr>
          <w:rFonts w:ascii="Traditional Arabic" w:hAnsi="Traditional Arabic" w:cs="Traditional Arabic"/>
          <w:sz w:val="32"/>
          <w:szCs w:val="32"/>
          <w:rtl/>
        </w:rPr>
        <w:t xml:space="preserve">أهمية </w:t>
      </w:r>
      <w:r w:rsidR="00BE5462" w:rsidRPr="00F839E3">
        <w:rPr>
          <w:rFonts w:ascii="Traditional Arabic" w:hAnsi="Traditional Arabic" w:cs="Traditional Arabic"/>
          <w:sz w:val="32"/>
          <w:szCs w:val="32"/>
          <w:rtl/>
        </w:rPr>
        <w:t xml:space="preserve">الصناديق </w:t>
      </w:r>
      <w:r w:rsidR="00485F25">
        <w:rPr>
          <w:rFonts w:ascii="Traditional Arabic" w:hAnsi="Traditional Arabic" w:cs="Traditional Arabic"/>
          <w:sz w:val="32"/>
          <w:szCs w:val="32"/>
          <w:rtl/>
        </w:rPr>
        <w:t>السياديَّة</w:t>
      </w:r>
      <w:r w:rsidR="00BE5462" w:rsidRPr="00F839E3">
        <w:rPr>
          <w:rFonts w:ascii="Traditional Arabic" w:hAnsi="Traditional Arabic" w:cs="Traditional Arabic"/>
          <w:sz w:val="32"/>
          <w:szCs w:val="32"/>
          <w:rtl/>
        </w:rPr>
        <w:t xml:space="preserve"> في النظام المالي العالمي</w:t>
      </w:r>
    </w:p>
    <w:p w:rsidR="00BE5462" w:rsidRPr="00F839E3" w:rsidRDefault="00BE5462" w:rsidP="00485F25">
      <w:pPr>
        <w:spacing w:line="240" w:lineRule="auto"/>
        <w:ind w:left="709"/>
        <w:jc w:val="both"/>
        <w:rPr>
          <w:rFonts w:ascii="Traditional Arabic" w:hAnsi="Traditional Arabic" w:cs="Traditional Arabic"/>
          <w:rtl/>
        </w:rPr>
      </w:pPr>
      <w:r w:rsidRPr="00F839E3">
        <w:rPr>
          <w:rFonts w:ascii="Traditional Arabic" w:hAnsi="Traditional Arabic" w:cs="Traditional Arabic"/>
          <w:sz w:val="32"/>
          <w:szCs w:val="32"/>
          <w:rtl/>
        </w:rPr>
        <w:t xml:space="preserve">مساهمة الصناديق </w:t>
      </w:r>
      <w:r w:rsidR="00485F25">
        <w:rPr>
          <w:rFonts w:ascii="Traditional Arabic" w:hAnsi="Traditional Arabic" w:cs="Traditional Arabic"/>
          <w:sz w:val="32"/>
          <w:szCs w:val="32"/>
          <w:rtl/>
        </w:rPr>
        <w:t>السياديَّة</w:t>
      </w:r>
      <w:r w:rsidRPr="00F839E3">
        <w:rPr>
          <w:rFonts w:ascii="Traditional Arabic" w:hAnsi="Traditional Arabic" w:cs="Traditional Arabic"/>
          <w:sz w:val="32"/>
          <w:szCs w:val="32"/>
          <w:rtl/>
        </w:rPr>
        <w:t xml:space="preserve"> في النظام المالي العالمي</w:t>
      </w:r>
    </w:p>
    <w:p w:rsidR="00BE5462" w:rsidRPr="00F839E3" w:rsidRDefault="00BE5462" w:rsidP="00485F25">
      <w:pPr>
        <w:spacing w:line="240" w:lineRule="auto"/>
        <w:ind w:left="709"/>
        <w:jc w:val="both"/>
        <w:rPr>
          <w:rFonts w:ascii="Traditional Arabic" w:hAnsi="Traditional Arabic" w:cs="Traditional Arabic"/>
          <w:rtl/>
        </w:rPr>
      </w:pPr>
      <w:r w:rsidRPr="00F839E3">
        <w:rPr>
          <w:rFonts w:ascii="Traditional Arabic" w:hAnsi="Traditional Arabic" w:cs="Traditional Arabic"/>
          <w:sz w:val="32"/>
          <w:szCs w:val="32"/>
          <w:rtl/>
        </w:rPr>
        <w:t xml:space="preserve">دور الصناديق </w:t>
      </w:r>
      <w:r w:rsidR="00485F25">
        <w:rPr>
          <w:rFonts w:ascii="Traditional Arabic" w:hAnsi="Traditional Arabic" w:cs="Traditional Arabic"/>
          <w:sz w:val="32"/>
          <w:szCs w:val="32"/>
          <w:rtl/>
        </w:rPr>
        <w:t>السياديَّة</w:t>
      </w:r>
      <w:r w:rsidRPr="00F839E3">
        <w:rPr>
          <w:rFonts w:ascii="Traditional Arabic" w:hAnsi="Traditional Arabic" w:cs="Traditional Arabic"/>
          <w:sz w:val="32"/>
          <w:szCs w:val="32"/>
          <w:rtl/>
        </w:rPr>
        <w:t xml:space="preserve"> في الاقتصاد </w:t>
      </w:r>
    </w:p>
    <w:p w:rsidR="00485F25" w:rsidRDefault="00BE5462" w:rsidP="005B2D79">
      <w:pPr>
        <w:spacing w:line="240" w:lineRule="auto"/>
        <w:ind w:left="709"/>
        <w:jc w:val="both"/>
        <w:rPr>
          <w:rFonts w:ascii="Traditional Arabic" w:hAnsi="Traditional Arabic" w:cs="Traditional Arabic"/>
          <w:sz w:val="32"/>
          <w:szCs w:val="32"/>
          <w:rtl/>
        </w:rPr>
      </w:pPr>
      <w:r w:rsidRPr="00F839E3">
        <w:rPr>
          <w:rFonts w:ascii="Traditional Arabic" w:hAnsi="Traditional Arabic" w:cs="Traditional Arabic"/>
          <w:sz w:val="32"/>
          <w:szCs w:val="32"/>
          <w:rtl/>
        </w:rPr>
        <w:t xml:space="preserve">صندوق النقد الدولي والصناديق </w:t>
      </w:r>
      <w:r w:rsidR="00485F25">
        <w:rPr>
          <w:rFonts w:ascii="Traditional Arabic" w:hAnsi="Traditional Arabic" w:cs="Traditional Arabic"/>
          <w:sz w:val="32"/>
          <w:szCs w:val="32"/>
          <w:rtl/>
        </w:rPr>
        <w:t>السياديَّة</w:t>
      </w:r>
    </w:p>
    <w:p w:rsidR="00951101" w:rsidRDefault="005202E9" w:rsidP="00951101">
      <w:pPr>
        <w:spacing w:line="240" w:lineRule="auto"/>
        <w:ind w:left="709"/>
        <w:jc w:val="both"/>
        <w:rPr>
          <w:rFonts w:ascii="Traditional Arabic" w:hAnsi="Traditional Arabic" w:cs="Traditional Arabic"/>
          <w:sz w:val="32"/>
          <w:szCs w:val="32"/>
        </w:rPr>
      </w:pPr>
      <w:r>
        <w:rPr>
          <w:rFonts w:ascii="Traditional Arabic" w:hAnsi="Traditional Arabic" w:cs="Traditional Arabic" w:hint="cs"/>
          <w:sz w:val="32"/>
          <w:szCs w:val="32"/>
          <w:rtl/>
        </w:rPr>
        <w:t>الصناديق السيادية والأزمة المالية</w:t>
      </w:r>
    </w:p>
    <w:p w:rsidR="00951101" w:rsidRPr="005B2D79" w:rsidRDefault="00951101" w:rsidP="00951101">
      <w:pPr>
        <w:spacing w:line="240" w:lineRule="auto"/>
        <w:ind w:left="709"/>
        <w:jc w:val="both"/>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دور المدير المالي في الصناديق السيادية</w:t>
      </w:r>
    </w:p>
    <w:p w:rsidR="00BE5462" w:rsidRPr="00E543C8" w:rsidRDefault="00F839E3" w:rsidP="00485F25">
      <w:pPr>
        <w:pStyle w:val="a3"/>
        <w:numPr>
          <w:ilvl w:val="0"/>
          <w:numId w:val="1"/>
        </w:numPr>
        <w:tabs>
          <w:tab w:val="right" w:pos="850"/>
          <w:tab w:val="right" w:pos="992"/>
        </w:tabs>
        <w:spacing w:line="240" w:lineRule="auto"/>
        <w:ind w:left="850" w:hanging="141"/>
        <w:jc w:val="both"/>
        <w:rPr>
          <w:rFonts w:ascii="Traditional Arabic" w:hAnsi="Traditional Arabic" w:cs="Traditional Arabic"/>
        </w:rPr>
      </w:pPr>
      <w:r>
        <w:rPr>
          <w:rFonts w:ascii="Traditional Arabic" w:hAnsi="Traditional Arabic" w:cs="Traditional Arabic" w:hint="cs"/>
          <w:sz w:val="32"/>
          <w:szCs w:val="32"/>
          <w:rtl/>
        </w:rPr>
        <w:t xml:space="preserve">الفصل الثاني : </w:t>
      </w:r>
      <w:r w:rsidR="00BE5462" w:rsidRPr="00F839E3">
        <w:rPr>
          <w:rFonts w:ascii="Traditional Arabic" w:hAnsi="Traditional Arabic" w:cs="Traditional Arabic"/>
          <w:b/>
          <w:bCs/>
          <w:sz w:val="32"/>
          <w:szCs w:val="32"/>
          <w:rtl/>
        </w:rPr>
        <w:t xml:space="preserve">صناديق </w:t>
      </w:r>
      <w:r w:rsidR="00485F25">
        <w:rPr>
          <w:rFonts w:ascii="Traditional Arabic" w:hAnsi="Traditional Arabic" w:cs="Traditional Arabic"/>
          <w:b/>
          <w:bCs/>
          <w:sz w:val="32"/>
          <w:szCs w:val="32"/>
          <w:rtl/>
        </w:rPr>
        <w:t>التحوُّط</w:t>
      </w:r>
    </w:p>
    <w:p w:rsidR="00E543C8" w:rsidRPr="00E543C8" w:rsidRDefault="00E543C8" w:rsidP="00E543C8">
      <w:pPr>
        <w:tabs>
          <w:tab w:val="right" w:pos="709"/>
        </w:tabs>
        <w:spacing w:line="240" w:lineRule="auto"/>
        <w:ind w:left="567" w:firstLine="142"/>
        <w:jc w:val="both"/>
        <w:rPr>
          <w:rFonts w:ascii="Traditional Arabic" w:hAnsi="Traditional Arabic" w:cs="Traditional Arabic"/>
          <w:rtl/>
        </w:rPr>
      </w:pPr>
      <w:r w:rsidRPr="00E543C8">
        <w:rPr>
          <w:rFonts w:ascii="Traditional Arabic" w:hAnsi="Traditional Arabic" w:cs="Traditional Arabic" w:hint="cs"/>
          <w:sz w:val="32"/>
          <w:szCs w:val="32"/>
          <w:rtl/>
        </w:rPr>
        <w:t>مقدمة</w:t>
      </w:r>
    </w:p>
    <w:p w:rsidR="00BE5462" w:rsidRPr="00F839E3" w:rsidRDefault="00E543C8" w:rsidP="00485F25">
      <w:pPr>
        <w:tabs>
          <w:tab w:val="right" w:pos="709"/>
        </w:tabs>
        <w:spacing w:line="240" w:lineRule="auto"/>
        <w:ind w:left="567" w:firstLine="142"/>
        <w:jc w:val="both"/>
        <w:rPr>
          <w:rFonts w:ascii="Traditional Arabic" w:hAnsi="Traditional Arabic" w:cs="Traditional Arabic"/>
          <w:rtl/>
        </w:rPr>
      </w:pPr>
      <w:bookmarkStart w:id="2" w:name="OLE_LINK3"/>
      <w:bookmarkStart w:id="3" w:name="OLE_LINK4"/>
      <w:r>
        <w:rPr>
          <w:rFonts w:ascii="Traditional Arabic" w:hAnsi="Traditional Arabic" w:cs="Traditional Arabic" w:hint="cs"/>
          <w:sz w:val="32"/>
          <w:szCs w:val="32"/>
          <w:rtl/>
        </w:rPr>
        <w:t>تعريف</w:t>
      </w:r>
      <w:r w:rsidR="00485F25">
        <w:rPr>
          <w:rFonts w:ascii="Traditional Arabic" w:hAnsi="Traditional Arabic" w:cs="Traditional Arabic" w:hint="cs"/>
          <w:sz w:val="32"/>
          <w:szCs w:val="32"/>
          <w:rtl/>
        </w:rPr>
        <w:t xml:space="preserve"> </w:t>
      </w:r>
      <w:r w:rsidR="00BE5462" w:rsidRPr="00F839E3">
        <w:rPr>
          <w:rFonts w:ascii="Traditional Arabic" w:hAnsi="Traditional Arabic" w:cs="Traditional Arabic"/>
          <w:sz w:val="32"/>
          <w:szCs w:val="32"/>
          <w:rtl/>
        </w:rPr>
        <w:t xml:space="preserve">صناديق </w:t>
      </w:r>
      <w:r w:rsidR="00485F25">
        <w:rPr>
          <w:rFonts w:ascii="Traditional Arabic" w:hAnsi="Traditional Arabic" w:cs="Traditional Arabic"/>
          <w:sz w:val="32"/>
          <w:szCs w:val="32"/>
          <w:rtl/>
        </w:rPr>
        <w:t>التحوُّط</w:t>
      </w:r>
      <w:r w:rsidR="00BE5462" w:rsidRPr="00F839E3">
        <w:rPr>
          <w:rFonts w:ascii="Traditional Arabic" w:hAnsi="Traditional Arabic" w:cs="Traditional Arabic"/>
          <w:sz w:val="32"/>
          <w:szCs w:val="32"/>
          <w:rtl/>
        </w:rPr>
        <w:t xml:space="preserve"> </w:t>
      </w:r>
    </w:p>
    <w:bookmarkEnd w:id="2"/>
    <w:bookmarkEnd w:id="3"/>
    <w:p w:rsidR="00BE5462" w:rsidRPr="00F839E3" w:rsidRDefault="005202E9" w:rsidP="00485F25">
      <w:pPr>
        <w:tabs>
          <w:tab w:val="right" w:pos="709"/>
        </w:tabs>
        <w:spacing w:line="240" w:lineRule="auto"/>
        <w:ind w:left="567" w:firstLine="142"/>
        <w:jc w:val="both"/>
        <w:rPr>
          <w:rFonts w:ascii="Traditional Arabic" w:hAnsi="Traditional Arabic" w:cs="Traditional Arabic"/>
          <w:rtl/>
        </w:rPr>
      </w:pPr>
      <w:r>
        <w:rPr>
          <w:rFonts w:ascii="Traditional Arabic" w:hAnsi="Traditional Arabic" w:cs="Traditional Arabic" w:hint="cs"/>
          <w:sz w:val="32"/>
          <w:szCs w:val="32"/>
          <w:rtl/>
        </w:rPr>
        <w:t>خصائص</w:t>
      </w:r>
      <w:r w:rsidR="00485F25">
        <w:rPr>
          <w:rFonts w:ascii="Traditional Arabic" w:hAnsi="Traditional Arabic" w:cs="Traditional Arabic"/>
          <w:sz w:val="32"/>
          <w:szCs w:val="32"/>
          <w:rtl/>
        </w:rPr>
        <w:t> </w:t>
      </w:r>
      <w:r w:rsidR="00BE5462" w:rsidRPr="00F839E3">
        <w:rPr>
          <w:rFonts w:ascii="Traditional Arabic" w:hAnsi="Traditional Arabic" w:cs="Traditional Arabic"/>
          <w:sz w:val="32"/>
          <w:szCs w:val="32"/>
          <w:rtl/>
        </w:rPr>
        <w:t xml:space="preserve">صناديق </w:t>
      </w:r>
      <w:r w:rsidR="00485F25">
        <w:rPr>
          <w:rFonts w:ascii="Traditional Arabic" w:hAnsi="Traditional Arabic" w:cs="Traditional Arabic"/>
          <w:sz w:val="32"/>
          <w:szCs w:val="32"/>
          <w:rtl/>
        </w:rPr>
        <w:t>التحوُّط</w:t>
      </w:r>
    </w:p>
    <w:p w:rsidR="00BE5462" w:rsidRPr="00F839E3" w:rsidRDefault="00BE5462" w:rsidP="00485F25">
      <w:pPr>
        <w:tabs>
          <w:tab w:val="right" w:pos="709"/>
        </w:tabs>
        <w:spacing w:line="240" w:lineRule="auto"/>
        <w:ind w:left="567" w:firstLine="142"/>
        <w:jc w:val="both"/>
        <w:rPr>
          <w:rFonts w:ascii="Traditional Arabic" w:hAnsi="Traditional Arabic" w:cs="Traditional Arabic"/>
          <w:rtl/>
        </w:rPr>
      </w:pPr>
      <w:r w:rsidRPr="00F839E3">
        <w:rPr>
          <w:rFonts w:ascii="Traditional Arabic" w:hAnsi="Traditional Arabic" w:cs="Traditional Arabic"/>
          <w:sz w:val="32"/>
          <w:szCs w:val="32"/>
          <w:rtl/>
        </w:rPr>
        <w:t xml:space="preserve">آلية عمل صناديق </w:t>
      </w:r>
      <w:r w:rsidR="00485F25">
        <w:rPr>
          <w:rFonts w:ascii="Traditional Arabic" w:hAnsi="Traditional Arabic" w:cs="Traditional Arabic"/>
          <w:sz w:val="32"/>
          <w:szCs w:val="32"/>
          <w:rtl/>
        </w:rPr>
        <w:t>التحوُّط</w:t>
      </w:r>
    </w:p>
    <w:p w:rsidR="00BE5462" w:rsidRDefault="00485F25" w:rsidP="00485F25">
      <w:pPr>
        <w:tabs>
          <w:tab w:val="right" w:pos="709"/>
        </w:tabs>
        <w:spacing w:line="240" w:lineRule="auto"/>
        <w:ind w:left="567" w:firstLine="142"/>
        <w:rPr>
          <w:rFonts w:ascii="Traditional Arabic" w:hAnsi="Traditional Arabic" w:cs="Traditional Arabic"/>
          <w:color w:val="2D2D2D"/>
          <w:sz w:val="32"/>
          <w:szCs w:val="32"/>
          <w:rtl/>
        </w:rPr>
      </w:pPr>
      <w:r>
        <w:rPr>
          <w:rFonts w:ascii="Traditional Arabic" w:hAnsi="Traditional Arabic" w:cs="Traditional Arabic"/>
          <w:color w:val="2D2D2D"/>
          <w:sz w:val="32"/>
          <w:szCs w:val="32"/>
          <w:rtl/>
        </w:rPr>
        <w:t xml:space="preserve">صناديق التحوُّط </w:t>
      </w:r>
      <w:r w:rsidR="00BE5462" w:rsidRPr="00F839E3">
        <w:rPr>
          <w:rFonts w:ascii="Traditional Arabic" w:hAnsi="Traditional Arabic" w:cs="Traditional Arabic"/>
          <w:color w:val="2D2D2D"/>
          <w:sz w:val="32"/>
          <w:szCs w:val="32"/>
          <w:rtl/>
        </w:rPr>
        <w:t>والأزمة المالية</w:t>
      </w:r>
    </w:p>
    <w:p w:rsidR="00951101" w:rsidRPr="00F839E3" w:rsidRDefault="00951101" w:rsidP="00485F25">
      <w:pPr>
        <w:tabs>
          <w:tab w:val="right" w:pos="709"/>
        </w:tabs>
        <w:spacing w:line="240" w:lineRule="auto"/>
        <w:ind w:left="567" w:firstLine="142"/>
        <w:rPr>
          <w:rFonts w:ascii="Traditional Arabic" w:hAnsi="Traditional Arabic" w:cs="Traditional Arabic"/>
          <w:rtl/>
        </w:rPr>
      </w:pPr>
      <w:r>
        <w:rPr>
          <w:rFonts w:ascii="Traditional Arabic" w:hAnsi="Traditional Arabic" w:cs="Traditional Arabic" w:hint="cs"/>
          <w:color w:val="2D2D2D"/>
          <w:sz w:val="32"/>
          <w:szCs w:val="32"/>
          <w:rtl/>
        </w:rPr>
        <w:t>دور المدير المالي في صناديق التحوُّط</w:t>
      </w:r>
    </w:p>
    <w:p w:rsidR="00BE5462" w:rsidRDefault="00BE5462" w:rsidP="00485F25">
      <w:pPr>
        <w:tabs>
          <w:tab w:val="right" w:pos="709"/>
        </w:tabs>
        <w:spacing w:line="240" w:lineRule="auto"/>
        <w:ind w:left="567" w:firstLine="142"/>
        <w:rPr>
          <w:rFonts w:ascii="Traditional Arabic" w:hAnsi="Traditional Arabic" w:cs="Traditional Arabic"/>
          <w:sz w:val="32"/>
          <w:szCs w:val="32"/>
          <w:rtl/>
          <w:lang w:bidi="ar-SY"/>
        </w:rPr>
      </w:pPr>
      <w:r w:rsidRPr="00F839E3">
        <w:rPr>
          <w:rFonts w:ascii="Traditional Arabic" w:hAnsi="Traditional Arabic" w:cs="Traditional Arabic"/>
          <w:sz w:val="32"/>
          <w:szCs w:val="32"/>
          <w:rtl/>
          <w:lang w:bidi="ar-SY"/>
        </w:rPr>
        <w:t>المراجع</w:t>
      </w:r>
    </w:p>
    <w:p w:rsidR="0070287B" w:rsidRDefault="0070287B" w:rsidP="009179BE">
      <w:pPr>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2"/>
          <w:szCs w:val="32"/>
          <w:rtl/>
          <w:lang w:bidi="ar-SY"/>
        </w:rPr>
        <w:lastRenderedPageBreak/>
        <w:t>الفصل الأول : صناديق الثروة السيادية</w:t>
      </w:r>
      <w:r w:rsidR="009179BE">
        <w:rPr>
          <w:rFonts w:ascii="Traditional Arabic" w:eastAsia="Times New Roman" w:hAnsi="Traditional Arabic" w:cs="Traditional Arabic"/>
          <w:b/>
          <w:bCs/>
          <w:sz w:val="32"/>
          <w:szCs w:val="32"/>
          <w:lang w:bidi="ar-SY"/>
        </w:rPr>
        <w:t xml:space="preserve">Sovereign Wealth funds                        </w:t>
      </w:r>
    </w:p>
    <w:p w:rsidR="00B52C5C" w:rsidRPr="00966167" w:rsidRDefault="00F839E3" w:rsidP="00B52C5C">
      <w:pPr>
        <w:jc w:val="both"/>
        <w:rPr>
          <w:rFonts w:ascii="Traditional Arabic" w:eastAsia="Times New Roman" w:hAnsi="Traditional Arabic" w:cs="Traditional Arabic"/>
          <w:rtl/>
        </w:rPr>
      </w:pPr>
      <w:r>
        <w:rPr>
          <w:rFonts w:ascii="Traditional Arabic" w:eastAsia="Times New Roman" w:hAnsi="Traditional Arabic" w:cs="Traditional Arabic" w:hint="cs"/>
          <w:b/>
          <w:bCs/>
          <w:sz w:val="32"/>
          <w:szCs w:val="32"/>
          <w:rtl/>
        </w:rPr>
        <w:t>مقدمة</w:t>
      </w:r>
      <w:r w:rsidR="0057461C">
        <w:rPr>
          <w:rStyle w:val="a8"/>
          <w:rFonts w:ascii="Traditional Arabic" w:eastAsia="Times New Roman" w:hAnsi="Traditional Arabic" w:cs="Traditional Arabic"/>
          <w:b/>
          <w:bCs/>
          <w:sz w:val="32"/>
          <w:szCs w:val="32"/>
          <w:rtl/>
        </w:rPr>
        <w:footnoteReference w:id="1"/>
      </w:r>
    </w:p>
    <w:p w:rsidR="00B52C5C" w:rsidRPr="00966167" w:rsidRDefault="00B52C5C" w:rsidP="00485F25">
      <w:pPr>
        <w:ind w:hanging="58"/>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تعتبر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ظاهرة ليست بالجديدة على الساحة المالية العالمية، حتى وإن عرفت نموا</w:t>
      </w:r>
      <w:r w:rsidR="00B12C6C">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سريعا</w:t>
      </w:r>
      <w:r w:rsidR="00B12C6C">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في نهاية القرن </w:t>
      </w:r>
      <w:r w:rsidR="00B12C6C">
        <w:rPr>
          <w:rFonts w:ascii="Traditional Arabic" w:eastAsia="Times New Roman" w:hAnsi="Traditional Arabic" w:cs="Traditional Arabic"/>
          <w:sz w:val="32"/>
          <w:szCs w:val="32"/>
          <w:rtl/>
        </w:rPr>
        <w:t>العشرين وبدايات الألفية الثالثة</w:t>
      </w:r>
      <w:r w:rsidR="00B12C6C">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 xml:space="preserve">حيث تعود هذه الصناديق إلى خمسينيات القرن العشرين عندما أنشأت دولة الكويت هيئة الاستثمار الكويتية سنة </w:t>
      </w:r>
      <w:r w:rsidRPr="005202E9">
        <w:rPr>
          <w:rFonts w:ascii="Traditional Arabic" w:eastAsia="Times New Roman" w:hAnsi="Traditional Arabic" w:cs="Traditional Arabic"/>
          <w:sz w:val="24"/>
          <w:szCs w:val="24"/>
          <w:rtl/>
        </w:rPr>
        <w:t>1953</w:t>
      </w:r>
      <w:r w:rsidRPr="00966167">
        <w:rPr>
          <w:rFonts w:ascii="Traditional Arabic" w:eastAsia="Times New Roman" w:hAnsi="Traditional Arabic" w:cs="Traditional Arabic"/>
          <w:sz w:val="32"/>
          <w:szCs w:val="32"/>
          <w:rtl/>
        </w:rPr>
        <w:t xml:space="preserve"> ، ليتوالى إثر ذلك في السبعينيات وما بعدها ظهور صناديق أخرى في سنغافورة والإمارات العربية المتحدة حتى وصلت في منتصف سنة </w:t>
      </w:r>
      <w:r w:rsidRPr="005202E9">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rPr>
        <w:t xml:space="preserve"> </w:t>
      </w:r>
      <w:r w:rsidRPr="005202E9">
        <w:rPr>
          <w:rFonts w:ascii="Traditional Arabic" w:eastAsia="Times New Roman" w:hAnsi="Traditional Arabic" w:cs="Traditional Arabic"/>
          <w:sz w:val="24"/>
          <w:szCs w:val="24"/>
          <w:rtl/>
        </w:rPr>
        <w:t>إلى53</w:t>
      </w:r>
      <w:r w:rsidRPr="00966167">
        <w:rPr>
          <w:rFonts w:ascii="Traditional Arabic" w:eastAsia="Times New Roman" w:hAnsi="Traditional Arabic" w:cs="Traditional Arabic"/>
          <w:sz w:val="32"/>
          <w:szCs w:val="32"/>
          <w:rtl/>
        </w:rPr>
        <w:t xml:space="preserve"> صندوق</w:t>
      </w:r>
      <w:r w:rsidR="00B12C6C">
        <w:rPr>
          <w:rFonts w:ascii="Traditional Arabic" w:eastAsia="Times New Roman" w:hAnsi="Traditional Arabic" w:cs="Traditional Arabic" w:hint="cs"/>
          <w:sz w:val="32"/>
          <w:szCs w:val="32"/>
          <w:rtl/>
        </w:rPr>
        <w:t>اً.</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ارتفع عدد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العالم وازدادت موجوداتها وتوسعت استثماراتها على أثر تطور الاقتصاد العالمي منذ منتصف التسعينيات من القرن المنصرم الذي شهد تأسيس منظمة التجارة العالمية وإبرام اتفاقات متعددة الأطراف ترمي إلى تحرير التجارة الخارجية وحركات رأس المال الأجنبي</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لذلك ظهرت غالبية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العالم في السنوات القليلة المنصرمة، ففي عام </w:t>
      </w:r>
      <w:r w:rsidRPr="005202E9">
        <w:rPr>
          <w:rFonts w:ascii="Traditional Arabic" w:eastAsia="Times New Roman" w:hAnsi="Traditional Arabic" w:cs="Traditional Arabic"/>
          <w:sz w:val="24"/>
          <w:szCs w:val="24"/>
          <w:rtl/>
        </w:rPr>
        <w:t>1969</w:t>
      </w:r>
      <w:r w:rsidRPr="00966167">
        <w:rPr>
          <w:rFonts w:ascii="Traditional Arabic" w:eastAsia="Times New Roman" w:hAnsi="Traditional Arabic" w:cs="Traditional Arabic"/>
          <w:sz w:val="32"/>
          <w:szCs w:val="32"/>
          <w:rtl/>
        </w:rPr>
        <w:t xml:space="preserve"> كان عددها ثلاثة صناديق فقط ثم </w:t>
      </w:r>
      <w:r w:rsidRPr="005202E9">
        <w:rPr>
          <w:rFonts w:ascii="Traditional Arabic" w:eastAsia="Times New Roman" w:hAnsi="Traditional Arabic" w:cs="Traditional Arabic"/>
          <w:sz w:val="24"/>
          <w:szCs w:val="24"/>
          <w:rtl/>
        </w:rPr>
        <w:t>21صندوقا</w:t>
      </w:r>
      <w:r w:rsidR="00B12C6C" w:rsidRPr="005202E9">
        <w:rPr>
          <w:rFonts w:ascii="Traditional Arabic" w:eastAsia="Times New Roman" w:hAnsi="Traditional Arabic" w:cs="Traditional Arabic" w:hint="cs"/>
          <w:sz w:val="24"/>
          <w:szCs w:val="24"/>
          <w:rtl/>
        </w:rPr>
        <w:t>ً</w:t>
      </w:r>
      <w:r w:rsidRPr="00966167">
        <w:rPr>
          <w:rFonts w:ascii="Traditional Arabic" w:eastAsia="Times New Roman" w:hAnsi="Traditional Arabic" w:cs="Traditional Arabic"/>
          <w:sz w:val="32"/>
          <w:szCs w:val="32"/>
          <w:rtl/>
        </w:rPr>
        <w:t xml:space="preserve"> عام </w:t>
      </w:r>
      <w:r w:rsidRPr="005202E9">
        <w:rPr>
          <w:rFonts w:ascii="Traditional Arabic" w:eastAsia="Times New Roman" w:hAnsi="Traditional Arabic" w:cs="Traditional Arabic"/>
          <w:sz w:val="24"/>
          <w:szCs w:val="24"/>
          <w:rtl/>
        </w:rPr>
        <w:t>1999</w:t>
      </w:r>
      <w:r w:rsidRPr="00966167">
        <w:rPr>
          <w:rFonts w:ascii="Traditional Arabic" w:eastAsia="Times New Roman" w:hAnsi="Traditional Arabic" w:cs="Traditional Arabic"/>
          <w:sz w:val="32"/>
          <w:szCs w:val="32"/>
          <w:rtl/>
        </w:rPr>
        <w:t xml:space="preserve"> وارتفع ليصل إلى </w:t>
      </w:r>
      <w:r w:rsidRPr="005202E9">
        <w:rPr>
          <w:rFonts w:ascii="Traditional Arabic" w:eastAsia="Times New Roman" w:hAnsi="Traditional Arabic" w:cs="Traditional Arabic"/>
          <w:sz w:val="24"/>
          <w:szCs w:val="24"/>
          <w:rtl/>
        </w:rPr>
        <w:t>53</w:t>
      </w:r>
      <w:r w:rsidRPr="00966167">
        <w:rPr>
          <w:rFonts w:ascii="Traditional Arabic" w:eastAsia="Times New Roman" w:hAnsi="Traditional Arabic" w:cs="Traditional Arabic"/>
          <w:sz w:val="32"/>
          <w:szCs w:val="32"/>
          <w:rtl/>
        </w:rPr>
        <w:t xml:space="preserve"> صندوقا</w:t>
      </w:r>
      <w:r w:rsidR="00B12C6C">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حالي</w:t>
      </w:r>
      <w:r w:rsidR="00B12C6C">
        <w:rPr>
          <w:rFonts w:ascii="Traditional Arabic" w:eastAsia="Times New Roman" w:hAnsi="Traditional Arabic" w:cs="Traditional Arabic" w:hint="cs"/>
          <w:sz w:val="32"/>
          <w:szCs w:val="32"/>
          <w:rtl/>
        </w:rPr>
        <w:t>اً.</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وبلغت موجودات هذه الصناديق </w:t>
      </w:r>
      <w:r w:rsidRPr="005202E9">
        <w:rPr>
          <w:rFonts w:ascii="Traditional Arabic" w:eastAsia="Times New Roman" w:hAnsi="Traditional Arabic" w:cs="Traditional Arabic"/>
          <w:sz w:val="24"/>
          <w:szCs w:val="24"/>
          <w:rtl/>
        </w:rPr>
        <w:t>3860</w:t>
      </w:r>
      <w:r w:rsidRPr="00966167">
        <w:rPr>
          <w:rFonts w:ascii="Traditional Arabic" w:eastAsia="Times New Roman" w:hAnsi="Traditional Arabic" w:cs="Traditional Arabic"/>
          <w:sz w:val="32"/>
          <w:szCs w:val="32"/>
          <w:rtl/>
        </w:rPr>
        <w:t xml:space="preserve"> مليار دولار ويعتبر هذا الرقم تقديري. ويتوقع صندوق النقد الدولي ارتفاعها إلى عشرة تر</w:t>
      </w:r>
      <w:r w:rsidR="0076307D">
        <w:rPr>
          <w:rFonts w:ascii="Traditional Arabic" w:eastAsia="Times New Roman" w:hAnsi="Traditional Arabic" w:cs="Traditional Arabic" w:hint="cs"/>
          <w:sz w:val="32"/>
          <w:szCs w:val="32"/>
          <w:rtl/>
        </w:rPr>
        <w:t>ي</w:t>
      </w:r>
      <w:r w:rsidR="0076307D">
        <w:rPr>
          <w:rFonts w:ascii="Traditional Arabic" w:eastAsia="Times New Roman" w:hAnsi="Traditional Arabic" w:cs="Traditional Arabic"/>
          <w:sz w:val="32"/>
          <w:szCs w:val="32"/>
          <w:rtl/>
        </w:rPr>
        <w:t>ليون</w:t>
      </w:r>
      <w:r w:rsidRPr="00966167">
        <w:rPr>
          <w:rFonts w:ascii="Traditional Arabic" w:eastAsia="Times New Roman" w:hAnsi="Traditional Arabic" w:cs="Traditional Arabic"/>
          <w:sz w:val="32"/>
          <w:szCs w:val="32"/>
          <w:rtl/>
        </w:rPr>
        <w:t xml:space="preserve"> دولار </w:t>
      </w:r>
      <w:r w:rsidRPr="005202E9">
        <w:rPr>
          <w:rFonts w:ascii="Traditional Arabic" w:eastAsia="Times New Roman" w:hAnsi="Traditional Arabic" w:cs="Traditional Arabic"/>
          <w:sz w:val="24"/>
          <w:szCs w:val="24"/>
          <w:rtl/>
        </w:rPr>
        <w:t>عام2015</w:t>
      </w:r>
      <w:r w:rsidR="0076307D">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tl/>
        </w:rPr>
        <w:t>تعريف الصناديق</w:t>
      </w:r>
      <w:r w:rsidR="005202E9">
        <w:rPr>
          <w:rFonts w:ascii="Traditional Arabic" w:eastAsia="Times New Roman" w:hAnsi="Traditional Arabic" w:cs="Traditional Arabic" w:hint="cs"/>
          <w:b/>
          <w:bCs/>
          <w:sz w:val="32"/>
          <w:szCs w:val="32"/>
          <w:rtl/>
        </w:rPr>
        <w:t xml:space="preserve"> السياديَّة</w:t>
      </w:r>
    </w:p>
    <w:p w:rsidR="00B52C5C" w:rsidRPr="00966167" w:rsidRDefault="00B52C5C" w:rsidP="00B12C6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ويعرف صندوق النقد الدولي الصناديق </w:t>
      </w:r>
      <w:r w:rsidR="00485F25">
        <w:rPr>
          <w:rFonts w:ascii="Traditional Arabic" w:eastAsia="Times New Roman" w:hAnsi="Traditional Arabic" w:cs="Traditional Arabic"/>
          <w:sz w:val="32"/>
          <w:szCs w:val="32"/>
          <w:rtl/>
        </w:rPr>
        <w:t>السياديَّة</w:t>
      </w:r>
      <w:r w:rsidR="00B12C6C">
        <w:rPr>
          <w:rFonts w:ascii="Traditional Arabic" w:eastAsia="Times New Roman" w:hAnsi="Traditional Arabic" w:cs="Traditional Arabic"/>
          <w:sz w:val="32"/>
          <w:szCs w:val="32"/>
          <w:rtl/>
        </w:rPr>
        <w:t xml:space="preserve"> على أنها " </w:t>
      </w:r>
      <w:r w:rsidRPr="00966167">
        <w:rPr>
          <w:rFonts w:ascii="Traditional Arabic" w:eastAsia="Times New Roman" w:hAnsi="Traditional Arabic" w:cs="Traditional Arabic"/>
          <w:sz w:val="32"/>
          <w:szCs w:val="32"/>
          <w:rtl/>
        </w:rPr>
        <w:t>صناديق أو ترتيبات للاستثمار ذا</w:t>
      </w:r>
      <w:r w:rsidR="00B12C6C">
        <w:rPr>
          <w:rFonts w:ascii="Traditional Arabic" w:eastAsia="Times New Roman" w:hAnsi="Traditional Arabic" w:cs="Traditional Arabic"/>
          <w:sz w:val="32"/>
          <w:szCs w:val="32"/>
          <w:rtl/>
        </w:rPr>
        <w:t>ت غرض خاص تملكها الحكومة العامة</w:t>
      </w:r>
      <w:r w:rsidRPr="00966167">
        <w:rPr>
          <w:rFonts w:ascii="Traditional Arabic" w:eastAsia="Times New Roman" w:hAnsi="Traditional Arabic" w:cs="Traditional Arabic"/>
          <w:sz w:val="32"/>
          <w:szCs w:val="32"/>
          <w:rtl/>
        </w:rPr>
        <w:t>.</w:t>
      </w:r>
      <w:r w:rsidR="00B12C6C">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 xml:space="preserve">وتنشئ الحكومة العامة صناديق الثروة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لأغراض اقتصادية آلية، وهي صناديق تحتفظ بالأصول أو تتولى توظيفها أو إدارتها لتحقيق أهداف مالية، مستخدمة في ذلك استراتيجيات استثمارية تتضمن الاستثمار في الأصول المالية الأجنبية"</w:t>
      </w:r>
      <w:r w:rsidR="00B12C6C">
        <w:rPr>
          <w:rFonts w:ascii="Traditional Arabic" w:eastAsia="Times New Roman" w:hAnsi="Traditional Arabic" w:cs="Traditional Arabic" w:hint="cs"/>
          <w:sz w:val="32"/>
          <w:szCs w:val="32"/>
          <w:rtl/>
        </w:rPr>
        <w:t>.</w:t>
      </w:r>
    </w:p>
    <w:p w:rsidR="005202E9" w:rsidRDefault="00B52C5C" w:rsidP="005202E9">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وتنشأ صناديق الثروة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العادة معتمدة على فوائض ميزان المدفوعات، أو عمليات النقد الأجنبي الرسمية، أو عائد الخصخصة، أو فوائض المالية العامة، أو الإيرادات المتحققة من الصادرات السلعية، أو كل هذه الموارد مجتمعة</w:t>
      </w:r>
      <w:r w:rsidRPr="00966167">
        <w:rPr>
          <w:rFonts w:ascii="Traditional Arabic" w:eastAsia="Times New Roman" w:hAnsi="Traditional Arabic" w:cs="Traditional Arabic"/>
          <w:sz w:val="32"/>
          <w:szCs w:val="32"/>
        </w:rPr>
        <w:t>.</w:t>
      </w:r>
    </w:p>
    <w:p w:rsidR="00B52C5C" w:rsidRPr="00966167" w:rsidRDefault="00B52C5C" w:rsidP="005202E9">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lastRenderedPageBreak/>
        <w:t xml:space="preserve">صناديق الثروة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:مؤسسات تابعة للحكومات وتستخدم الأموال العامة في عمليات الاستثمار ذات الأمد الطويل خارج دول المنشأ. وتلعب هذه الصناديق، لا سي</w:t>
      </w:r>
      <w:r w:rsidR="0076307D">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ما الخليجية منها، دورا</w:t>
      </w:r>
      <w:r w:rsidR="00B12C6C">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بارزا</w:t>
      </w:r>
      <w:r w:rsidR="00B12C6C">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على الساحة الاقتصادية العالمية، كما تثير أيضا</w:t>
      </w:r>
      <w:r w:rsidR="00B12C6C">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عدة مشاكل</w:t>
      </w:r>
      <w:r w:rsidRPr="00966167">
        <w:rPr>
          <w:rFonts w:ascii="Traditional Arabic" w:eastAsia="Times New Roman" w:hAnsi="Traditional Arabic" w:cs="Traditional Arabic"/>
          <w:sz w:val="32"/>
          <w:szCs w:val="32"/>
        </w:rPr>
        <w:t>.</w:t>
      </w:r>
    </w:p>
    <w:p w:rsidR="00B52C5C" w:rsidRDefault="00B52C5C" w:rsidP="00B52C5C">
      <w:pPr>
        <w:jc w:val="both"/>
        <w:rPr>
          <w:rFonts w:ascii="Traditional Arabic" w:eastAsia="Times New Roman" w:hAnsi="Traditional Arabic" w:cs="Traditional Arabic"/>
          <w:sz w:val="32"/>
          <w:szCs w:val="32"/>
          <w:rtl/>
        </w:rPr>
      </w:pPr>
      <w:r w:rsidRPr="00966167">
        <w:rPr>
          <w:rFonts w:ascii="Traditional Arabic" w:eastAsia="Times New Roman" w:hAnsi="Traditional Arabic" w:cs="Traditional Arabic"/>
          <w:sz w:val="32"/>
          <w:szCs w:val="32"/>
          <w:rtl/>
        </w:rPr>
        <w:t xml:space="preserve">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هي في الأصل صناديق تابعة للدولة، وهي تستعمل للحصول على عائدات أكبر من تلك التي يمكن أن نحصل عليها من سندات الخزانة</w:t>
      </w:r>
      <w:r w:rsidRPr="00966167">
        <w:rPr>
          <w:rFonts w:ascii="Traditional Arabic" w:eastAsia="Times New Roman" w:hAnsi="Traditional Arabic" w:cs="Traditional Arabic"/>
          <w:sz w:val="32"/>
          <w:szCs w:val="32"/>
        </w:rPr>
        <w:t xml:space="preserve"> .</w:t>
      </w:r>
    </w:p>
    <w:p w:rsidR="00485F25" w:rsidRPr="00B12C6C" w:rsidRDefault="00B12C6C" w:rsidP="00B12C6C">
      <w:pPr>
        <w:jc w:val="both"/>
        <w:rPr>
          <w:rFonts w:ascii="Traditional Arabic" w:hAnsi="Traditional Arabic" w:cs="Traditional Arabic"/>
          <w:rtl/>
        </w:rPr>
      </w:pPr>
      <w:r w:rsidRPr="00B12C6C">
        <w:rPr>
          <w:rFonts w:ascii="Traditional Arabic" w:eastAsia="Times New Roman" w:hAnsi="Traditional Arabic" w:cs="Traditional Arabic" w:hint="cs"/>
          <w:b/>
          <w:bCs/>
          <w:sz w:val="32"/>
          <w:szCs w:val="32"/>
          <w:rtl/>
        </w:rPr>
        <w:t>مُلاك</w:t>
      </w:r>
      <w:r>
        <w:rPr>
          <w:rFonts w:ascii="Traditional Arabic" w:hAnsi="Traditional Arabic" w:cs="Traditional Arabic" w:hint="cs"/>
          <w:sz w:val="32"/>
          <w:szCs w:val="32"/>
          <w:rtl/>
        </w:rPr>
        <w:t xml:space="preserve"> </w:t>
      </w:r>
      <w:r w:rsidRPr="00B12C6C">
        <w:rPr>
          <w:rFonts w:ascii="Traditional Arabic" w:eastAsia="Times New Roman" w:hAnsi="Traditional Arabic" w:cs="Traditional Arabic" w:hint="cs"/>
          <w:b/>
          <w:bCs/>
          <w:sz w:val="32"/>
          <w:szCs w:val="32"/>
          <w:rtl/>
        </w:rPr>
        <w:t>صناديق</w:t>
      </w:r>
      <w:r>
        <w:rPr>
          <w:rFonts w:ascii="Traditional Arabic" w:hAnsi="Traditional Arabic" w:cs="Traditional Arabic" w:hint="cs"/>
          <w:sz w:val="32"/>
          <w:szCs w:val="32"/>
          <w:rtl/>
        </w:rPr>
        <w:t xml:space="preserve"> </w:t>
      </w:r>
      <w:r w:rsidRPr="00B12C6C">
        <w:rPr>
          <w:rFonts w:ascii="Traditional Arabic" w:eastAsia="Times New Roman" w:hAnsi="Traditional Arabic" w:cs="Traditional Arabic" w:hint="cs"/>
          <w:b/>
          <w:bCs/>
          <w:sz w:val="32"/>
          <w:szCs w:val="32"/>
          <w:rtl/>
        </w:rPr>
        <w:t>الثروة</w:t>
      </w:r>
      <w:r>
        <w:rPr>
          <w:rFonts w:ascii="Traditional Arabic" w:hAnsi="Traditional Arabic" w:cs="Traditional Arabic" w:hint="cs"/>
          <w:sz w:val="32"/>
          <w:szCs w:val="32"/>
          <w:rtl/>
        </w:rPr>
        <w:t xml:space="preserve"> </w:t>
      </w:r>
      <w:r w:rsidRPr="00B12C6C">
        <w:rPr>
          <w:rFonts w:ascii="Traditional Arabic" w:eastAsia="Times New Roman" w:hAnsi="Traditional Arabic" w:cs="Traditional Arabic" w:hint="cs"/>
          <w:b/>
          <w:bCs/>
          <w:sz w:val="32"/>
          <w:szCs w:val="32"/>
          <w:rtl/>
        </w:rPr>
        <w:t>السيادية</w:t>
      </w:r>
    </w:p>
    <w:p w:rsidR="00485F25" w:rsidRPr="00966167" w:rsidRDefault="00485F25" w:rsidP="00B12C6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بخلاف ما يعتقده البعض حول أن تلك الصناديق ظاهرة حصرية للعائلات المالكة في دول الخليج العربية، فإن عدة دول حول العالم تمتلك صناديق مماثلة، ومن بينها النرويج التي تمتلك أحد أكبر الصناديق حول العالم والتي تقدر موجوداته بأكثر من </w:t>
      </w:r>
      <w:r w:rsidRPr="005202E9">
        <w:rPr>
          <w:rFonts w:ascii="Traditional Arabic" w:eastAsia="Times New Roman" w:hAnsi="Traditional Arabic" w:cs="Traditional Arabic"/>
          <w:sz w:val="24"/>
          <w:szCs w:val="24"/>
          <w:rtl/>
        </w:rPr>
        <w:t>322</w:t>
      </w:r>
      <w:r w:rsidRPr="00966167">
        <w:rPr>
          <w:rFonts w:ascii="Traditional Arabic" w:eastAsia="Times New Roman" w:hAnsi="Traditional Arabic" w:cs="Traditional Arabic"/>
          <w:sz w:val="32"/>
          <w:szCs w:val="32"/>
          <w:rtl/>
        </w:rPr>
        <w:t xml:space="preserve"> مليار دولار</w:t>
      </w:r>
      <w:r w:rsidRPr="00966167">
        <w:rPr>
          <w:rFonts w:ascii="Traditional Arabic" w:eastAsia="Times New Roman" w:hAnsi="Traditional Arabic" w:cs="Traditional Arabic"/>
          <w:sz w:val="32"/>
          <w:szCs w:val="32"/>
        </w:rPr>
        <w:t>.</w:t>
      </w:r>
    </w:p>
    <w:p w:rsidR="00B52C5C" w:rsidRDefault="00485F25" w:rsidP="00B12C6C">
      <w:pPr>
        <w:jc w:val="both"/>
        <w:rPr>
          <w:rFonts w:ascii="Traditional Arabic" w:eastAsia="Times New Roman" w:hAnsi="Traditional Arabic" w:cs="Traditional Arabic"/>
          <w:sz w:val="32"/>
          <w:szCs w:val="32"/>
          <w:rtl/>
        </w:rPr>
      </w:pPr>
      <w:r w:rsidRPr="00966167">
        <w:rPr>
          <w:rFonts w:ascii="Traditional Arabic" w:eastAsia="Times New Roman" w:hAnsi="Traditional Arabic" w:cs="Traditional Arabic"/>
          <w:sz w:val="32"/>
          <w:szCs w:val="32"/>
          <w:rtl/>
        </w:rPr>
        <w:t xml:space="preserve">وكذلك، تدير كل من سنغافورة والصين وروسيا صناديق مماثلة ذات وزن كبير، يقدر "ستاندرد تشارترد" حجمها بقرابة </w:t>
      </w:r>
      <w:r w:rsidRPr="005202E9">
        <w:rPr>
          <w:rFonts w:ascii="Traditional Arabic" w:eastAsia="Times New Roman" w:hAnsi="Traditional Arabic" w:cs="Traditional Arabic"/>
          <w:sz w:val="24"/>
          <w:szCs w:val="24"/>
          <w:rtl/>
        </w:rPr>
        <w:t>100</w:t>
      </w:r>
      <w:r w:rsidRPr="00966167">
        <w:rPr>
          <w:rFonts w:ascii="Traditional Arabic" w:eastAsia="Times New Roman" w:hAnsi="Traditional Arabic" w:cs="Traditional Arabic"/>
          <w:sz w:val="32"/>
          <w:szCs w:val="32"/>
          <w:rtl/>
        </w:rPr>
        <w:t xml:space="preserve"> مليار دولار، وكذلك أسست كل من التشيلي وفنزويلا هيئات من هذا النوع</w:t>
      </w:r>
      <w:r w:rsidRPr="00966167">
        <w:rPr>
          <w:rFonts w:ascii="Traditional Arabic" w:eastAsia="Times New Roman" w:hAnsi="Traditional Arabic" w:cs="Traditional Arabic"/>
          <w:sz w:val="32"/>
          <w:szCs w:val="32"/>
        </w:rPr>
        <w:t>.</w:t>
      </w:r>
    </w:p>
    <w:p w:rsidR="00B12C6C" w:rsidRPr="00966167" w:rsidRDefault="00B12C6C" w:rsidP="00B12C6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يعتبر جهاز أبو ظبي للاستثمار أكبر الصناديق </w:t>
      </w:r>
      <w:r>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العالم، وهذا بالنظر إلى حجم موجوداته بالدولار الأمريكي ونسبة تلك الموجودات إلى إجمالي الناتج المحلي لدولة الإمارات العربية المتحدة</w:t>
      </w:r>
      <w:r w:rsidRPr="00966167">
        <w:rPr>
          <w:rFonts w:ascii="Traditional Arabic" w:eastAsia="Times New Roman" w:hAnsi="Traditional Arabic" w:cs="Traditional Arabic"/>
          <w:sz w:val="32"/>
          <w:szCs w:val="32"/>
        </w:rPr>
        <w:t>.</w:t>
      </w:r>
    </w:p>
    <w:p w:rsidR="008B5547" w:rsidRPr="00E05B13" w:rsidRDefault="00B12C6C" w:rsidP="008B5547">
      <w:pPr>
        <w:jc w:val="both"/>
        <w:rPr>
          <w:rFonts w:ascii="Traditional Arabic" w:eastAsia="Times New Roman" w:hAnsi="Traditional Arabic" w:cs="Traditional Arabic"/>
          <w:sz w:val="32"/>
          <w:szCs w:val="32"/>
          <w:rtl/>
        </w:rPr>
      </w:pPr>
      <w:r w:rsidRPr="00966167">
        <w:rPr>
          <w:rFonts w:ascii="Traditional Arabic" w:eastAsia="Times New Roman" w:hAnsi="Traditional Arabic" w:cs="Traditional Arabic"/>
          <w:sz w:val="32"/>
          <w:szCs w:val="32"/>
          <w:rtl/>
        </w:rPr>
        <w:t xml:space="preserve">لكن تقديرات حجم الصندوق تتفاوت بشدة، إذ أنها تتراوح بين </w:t>
      </w:r>
      <w:r w:rsidRPr="005202E9">
        <w:rPr>
          <w:rFonts w:ascii="Traditional Arabic" w:eastAsia="Times New Roman" w:hAnsi="Traditional Arabic" w:cs="Traditional Arabic"/>
          <w:sz w:val="24"/>
          <w:szCs w:val="24"/>
          <w:rtl/>
        </w:rPr>
        <w:t>250</w:t>
      </w:r>
      <w:r w:rsidRPr="00966167">
        <w:rPr>
          <w:rFonts w:ascii="Traditional Arabic" w:eastAsia="Times New Roman" w:hAnsi="Traditional Arabic" w:cs="Traditional Arabic"/>
          <w:sz w:val="32"/>
          <w:szCs w:val="32"/>
          <w:rtl/>
        </w:rPr>
        <w:t xml:space="preserve"> مليار </w:t>
      </w:r>
      <w:r w:rsidR="005B2D79" w:rsidRPr="00966167">
        <w:rPr>
          <w:rFonts w:ascii="Traditional Arabic" w:eastAsia="Times New Roman" w:hAnsi="Traditional Arabic" w:cs="Traditional Arabic" w:hint="cs"/>
          <w:sz w:val="32"/>
          <w:szCs w:val="32"/>
          <w:rtl/>
        </w:rPr>
        <w:t>وتريليو</w:t>
      </w:r>
      <w:r w:rsidR="005B2D79" w:rsidRPr="00966167">
        <w:rPr>
          <w:rFonts w:ascii="Traditional Arabic" w:eastAsia="Times New Roman" w:hAnsi="Traditional Arabic" w:cs="Traditional Arabic" w:hint="eastAsia"/>
          <w:sz w:val="32"/>
          <w:szCs w:val="32"/>
          <w:rtl/>
        </w:rPr>
        <w:t>ن</w:t>
      </w:r>
      <w:r w:rsidRPr="00966167">
        <w:rPr>
          <w:rFonts w:ascii="Traditional Arabic" w:eastAsia="Times New Roman" w:hAnsi="Traditional Arabic" w:cs="Traditional Arabic"/>
          <w:sz w:val="32"/>
          <w:szCs w:val="32"/>
          <w:rtl/>
        </w:rPr>
        <w:t xml:space="preserve"> دولار، بينما يقدر "ستاندرد تشارترد" حجم موجودات الصندوق بقرابة </w:t>
      </w:r>
      <w:r w:rsidRPr="005202E9">
        <w:rPr>
          <w:rFonts w:ascii="Traditional Arabic" w:eastAsia="Times New Roman" w:hAnsi="Traditional Arabic" w:cs="Traditional Arabic"/>
          <w:sz w:val="24"/>
          <w:szCs w:val="24"/>
          <w:rtl/>
        </w:rPr>
        <w:t>625</w:t>
      </w:r>
      <w:r w:rsidRPr="00966167">
        <w:rPr>
          <w:rFonts w:ascii="Traditional Arabic" w:eastAsia="Times New Roman" w:hAnsi="Traditional Arabic" w:cs="Traditional Arabic"/>
          <w:sz w:val="32"/>
          <w:szCs w:val="32"/>
          <w:rtl/>
        </w:rPr>
        <w:t xml:space="preserve"> مليار دولار ، وقد كانت عملية شراء حصة بقيمة </w:t>
      </w:r>
      <w:r w:rsidRPr="005202E9">
        <w:rPr>
          <w:rFonts w:ascii="Traditional Arabic" w:eastAsia="Times New Roman" w:hAnsi="Traditional Arabic" w:cs="Traditional Arabic"/>
          <w:sz w:val="24"/>
          <w:szCs w:val="24"/>
          <w:rtl/>
        </w:rPr>
        <w:t>7.5</w:t>
      </w:r>
      <w:r w:rsidRPr="00966167">
        <w:rPr>
          <w:rFonts w:ascii="Traditional Arabic" w:eastAsia="Times New Roman" w:hAnsi="Traditional Arabic" w:cs="Traditional Arabic"/>
          <w:sz w:val="32"/>
          <w:szCs w:val="32"/>
          <w:rtl/>
        </w:rPr>
        <w:t xml:space="preserve"> مليار  دولار في مجموعة "سيتي غروب"</w:t>
      </w:r>
      <w:r w:rsidR="00E957F7">
        <w:rPr>
          <w:rStyle w:val="a8"/>
          <w:rFonts w:ascii="Traditional Arabic" w:eastAsia="Times New Roman" w:hAnsi="Traditional Arabic" w:cs="Traditional Arabic"/>
          <w:sz w:val="32"/>
          <w:szCs w:val="32"/>
          <w:rtl/>
        </w:rPr>
        <w:footnoteReference w:id="2"/>
      </w:r>
      <w:r w:rsidRPr="00966167">
        <w:rPr>
          <w:rFonts w:ascii="Traditional Arabic" w:eastAsia="Times New Roman" w:hAnsi="Traditional Arabic" w:cs="Traditional Arabic"/>
          <w:sz w:val="32"/>
          <w:szCs w:val="32"/>
          <w:rtl/>
        </w:rPr>
        <w:t xml:space="preserve"> خلال تشرين الثاني </w:t>
      </w:r>
      <w:r w:rsidRPr="005202E9">
        <w:rPr>
          <w:rFonts w:ascii="Traditional Arabic" w:eastAsia="Times New Roman" w:hAnsi="Traditional Arabic" w:cs="Traditional Arabic"/>
          <w:sz w:val="24"/>
          <w:szCs w:val="24"/>
          <w:rtl/>
        </w:rPr>
        <w:t>2008</w:t>
      </w:r>
      <w:r>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آخر نشاطاته البارزة</w:t>
      </w:r>
      <w:r w:rsidRPr="00966167">
        <w:rPr>
          <w:rFonts w:ascii="Traditional Arabic" w:eastAsia="Times New Roman" w:hAnsi="Traditional Arabic" w:cs="Traditional Arabic"/>
          <w:sz w:val="32"/>
          <w:szCs w:val="32"/>
        </w:rPr>
        <w:t>.</w:t>
      </w:r>
    </w:p>
    <w:p w:rsidR="00B52C5C" w:rsidRPr="00966167" w:rsidRDefault="0076307D" w:rsidP="00E957F7">
      <w:pPr>
        <w:jc w:val="both"/>
        <w:rPr>
          <w:rFonts w:ascii="Traditional Arabic" w:eastAsia="Times New Roman" w:hAnsi="Traditional Arabic" w:cs="Traditional Arabic"/>
          <w:rtl/>
        </w:rPr>
      </w:pPr>
      <w:r>
        <w:rPr>
          <w:rFonts w:ascii="Traditional Arabic" w:eastAsia="Times New Roman" w:hAnsi="Traditional Arabic" w:cs="Traditional Arabic" w:hint="cs"/>
          <w:b/>
          <w:bCs/>
          <w:sz w:val="32"/>
          <w:szCs w:val="32"/>
          <w:rtl/>
        </w:rPr>
        <w:t xml:space="preserve">مصادر أموال الصناديق السياديَّة </w:t>
      </w:r>
    </w:p>
    <w:p w:rsidR="00B52C5C" w:rsidRDefault="00B52C5C" w:rsidP="00B12C6C">
      <w:pPr>
        <w:jc w:val="both"/>
        <w:rPr>
          <w:rFonts w:ascii="Traditional Arabic" w:eastAsia="Times New Roman" w:hAnsi="Traditional Arabic" w:cs="Traditional Arabic"/>
          <w:sz w:val="32"/>
          <w:szCs w:val="32"/>
          <w:rtl/>
        </w:rPr>
      </w:pPr>
      <w:r w:rsidRPr="00966167">
        <w:rPr>
          <w:rFonts w:ascii="Traditional Arabic" w:eastAsia="Times New Roman" w:hAnsi="Traditional Arabic" w:cs="Traditional Arabic"/>
          <w:sz w:val="32"/>
          <w:szCs w:val="32"/>
          <w:rtl/>
        </w:rPr>
        <w:t xml:space="preserve">تعتبر عائدات النفط المصدر الأساسي للأموال أكبر الصناديق الاستثمارية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العالم، وبالتزامن </w:t>
      </w:r>
      <w:r w:rsidR="00B12C6C">
        <w:rPr>
          <w:rFonts w:ascii="Traditional Arabic" w:eastAsia="Times New Roman" w:hAnsi="Traditional Arabic" w:cs="Traditional Arabic"/>
          <w:sz w:val="32"/>
          <w:szCs w:val="32"/>
          <w:rtl/>
        </w:rPr>
        <w:t xml:space="preserve">مع ارتفاع أسعار النفط وازدياد </w:t>
      </w:r>
      <w:r w:rsidR="00B12C6C">
        <w:rPr>
          <w:rFonts w:ascii="Traditional Arabic" w:eastAsia="Times New Roman" w:hAnsi="Traditional Arabic" w:cs="Traditional Arabic" w:hint="cs"/>
          <w:sz w:val="32"/>
          <w:szCs w:val="32"/>
          <w:rtl/>
        </w:rPr>
        <w:t>إي</w:t>
      </w:r>
      <w:r w:rsidRPr="00966167">
        <w:rPr>
          <w:rFonts w:ascii="Traditional Arabic" w:eastAsia="Times New Roman" w:hAnsi="Traditional Arabic" w:cs="Traditional Arabic"/>
          <w:sz w:val="32"/>
          <w:szCs w:val="32"/>
          <w:rtl/>
        </w:rPr>
        <w:t>ر</w:t>
      </w:r>
      <w:r w:rsidR="00B12C6C">
        <w:rPr>
          <w:rFonts w:ascii="Traditional Arabic" w:eastAsia="Times New Roman" w:hAnsi="Traditional Arabic" w:cs="Traditional Arabic" w:hint="cs"/>
          <w:sz w:val="32"/>
          <w:szCs w:val="32"/>
          <w:rtl/>
        </w:rPr>
        <w:t>ا</w:t>
      </w:r>
      <w:r w:rsidRPr="00966167">
        <w:rPr>
          <w:rFonts w:ascii="Traditional Arabic" w:eastAsia="Times New Roman" w:hAnsi="Traditional Arabic" w:cs="Traditional Arabic"/>
          <w:sz w:val="32"/>
          <w:szCs w:val="32"/>
          <w:rtl/>
        </w:rPr>
        <w:t>دات الدول المنتجة للخامات ازدادت ثروات هذه الصناديق، كما تعتبر الاحتياطيات النقدية الأجنبية مصدراً أساسياً أيضاً</w:t>
      </w:r>
      <w:r w:rsidRPr="00966167">
        <w:rPr>
          <w:rFonts w:ascii="Traditional Arabic" w:eastAsia="Times New Roman" w:hAnsi="Traditional Arabic" w:cs="Traditional Arabic"/>
          <w:sz w:val="32"/>
          <w:szCs w:val="32"/>
        </w:rPr>
        <w:t>.</w:t>
      </w:r>
    </w:p>
    <w:p w:rsidR="00B12C6C" w:rsidRPr="00966167" w:rsidRDefault="00B12C6C" w:rsidP="00B12C6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lastRenderedPageBreak/>
        <w:t xml:space="preserve">وتنشأ صناديق الثروة </w:t>
      </w:r>
      <w:r>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العادة معتمدة على فوائض ميزان المدفوعات، أو عمليات النقد الأجنبي الرسمية، أو عائد الخصخصة، أو فوائض المالية العامة، أو الإيرادات المتحققة من الصادرات السلعية، أو كل هذه الموارد مجتمعة</w:t>
      </w:r>
      <w:r w:rsidRPr="00966167">
        <w:rPr>
          <w:rFonts w:ascii="Traditional Arabic" w:eastAsia="Times New Roman" w:hAnsi="Traditional Arabic" w:cs="Traditional Arabic"/>
          <w:sz w:val="32"/>
          <w:szCs w:val="32"/>
        </w:rPr>
        <w:t>.</w:t>
      </w:r>
    </w:p>
    <w:p w:rsidR="00B12C6C" w:rsidRPr="005B2D79" w:rsidRDefault="00E957F7" w:rsidP="005B2D79">
      <w:pPr>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وتشير دراسات أجر</w:t>
      </w:r>
      <w:r>
        <w:rPr>
          <w:rFonts w:ascii="Traditional Arabic" w:eastAsia="Times New Roman" w:hAnsi="Traditional Arabic" w:cs="Traditional Arabic" w:hint="cs"/>
          <w:sz w:val="32"/>
          <w:szCs w:val="32"/>
          <w:rtl/>
          <w:lang w:bidi="ar-SY"/>
        </w:rPr>
        <w:t xml:space="preserve">اها </w:t>
      </w:r>
      <w:r w:rsidR="00B52C5C" w:rsidRPr="00966167">
        <w:rPr>
          <w:rFonts w:ascii="Traditional Arabic" w:eastAsia="Times New Roman" w:hAnsi="Traditional Arabic" w:cs="Traditional Arabic"/>
          <w:sz w:val="32"/>
          <w:szCs w:val="32"/>
          <w:rtl/>
        </w:rPr>
        <w:t>"ستاندرد تشارترد"</w:t>
      </w:r>
      <w:r w:rsidRPr="00E957F7">
        <w:rPr>
          <w:rStyle w:val="a8"/>
          <w:rFonts w:ascii="Traditional Arabic" w:eastAsia="Times New Roman" w:hAnsi="Traditional Arabic" w:cs="Traditional Arabic"/>
          <w:b/>
          <w:bCs/>
          <w:sz w:val="32"/>
          <w:szCs w:val="32"/>
          <w:rtl/>
        </w:rPr>
        <w:footnoteReference w:id="3"/>
      </w:r>
      <w:r w:rsidR="00B52C5C" w:rsidRPr="00966167">
        <w:rPr>
          <w:rFonts w:ascii="Traditional Arabic" w:eastAsia="Times New Roman" w:hAnsi="Traditional Arabic" w:cs="Traditional Arabic"/>
          <w:sz w:val="32"/>
          <w:szCs w:val="32"/>
          <w:rtl/>
        </w:rPr>
        <w:t xml:space="preserve"> إلى أن حجم الأموال التي ستمتلكها تلك الصناديق خلال عقد من الزمن ستتجاوز </w:t>
      </w:r>
      <w:r w:rsidR="00B52C5C" w:rsidRPr="005202E9">
        <w:rPr>
          <w:rFonts w:ascii="Traditional Arabic" w:eastAsia="Times New Roman" w:hAnsi="Traditional Arabic" w:cs="Traditional Arabic"/>
          <w:sz w:val="24"/>
          <w:szCs w:val="24"/>
          <w:rtl/>
        </w:rPr>
        <w:t>13.4</w:t>
      </w:r>
      <w:r w:rsidR="00B52C5C" w:rsidRPr="00966167">
        <w:rPr>
          <w:rFonts w:ascii="Traditional Arabic" w:eastAsia="Times New Roman" w:hAnsi="Traditional Arabic" w:cs="Traditional Arabic"/>
          <w:sz w:val="32"/>
          <w:szCs w:val="32"/>
          <w:rtl/>
        </w:rPr>
        <w:t xml:space="preserve"> </w:t>
      </w:r>
      <w:r w:rsidR="0076307D" w:rsidRPr="00966167">
        <w:rPr>
          <w:rFonts w:ascii="Traditional Arabic" w:eastAsia="Times New Roman" w:hAnsi="Traditional Arabic" w:cs="Traditional Arabic" w:hint="cs"/>
          <w:sz w:val="32"/>
          <w:szCs w:val="32"/>
          <w:rtl/>
        </w:rPr>
        <w:t>تريليو</w:t>
      </w:r>
      <w:r w:rsidR="0076307D" w:rsidRPr="00966167">
        <w:rPr>
          <w:rFonts w:ascii="Traditional Arabic" w:eastAsia="Times New Roman" w:hAnsi="Traditional Arabic" w:cs="Traditional Arabic" w:hint="eastAsia"/>
          <w:sz w:val="32"/>
          <w:szCs w:val="32"/>
          <w:rtl/>
        </w:rPr>
        <w:t>ن</w:t>
      </w:r>
      <w:r w:rsidR="00B52C5C" w:rsidRPr="00966167">
        <w:rPr>
          <w:rFonts w:ascii="Traditional Arabic" w:eastAsia="Times New Roman" w:hAnsi="Traditional Arabic" w:cs="Traditional Arabic"/>
          <w:sz w:val="32"/>
          <w:szCs w:val="32"/>
          <w:rtl/>
        </w:rPr>
        <w:t xml:space="preserve"> دولار، فيما تقدر "مورغان ستانلي" أن تبلغ  الموجودات </w:t>
      </w:r>
      <w:r w:rsidR="00B52C5C" w:rsidRPr="005202E9">
        <w:rPr>
          <w:rFonts w:ascii="Traditional Arabic" w:eastAsia="Times New Roman" w:hAnsi="Traditional Arabic" w:cs="Traditional Arabic"/>
          <w:sz w:val="24"/>
          <w:szCs w:val="24"/>
          <w:rtl/>
        </w:rPr>
        <w:t>17.5</w:t>
      </w:r>
      <w:r w:rsidR="00B52C5C" w:rsidRPr="00966167">
        <w:rPr>
          <w:rFonts w:ascii="Traditional Arabic" w:eastAsia="Times New Roman" w:hAnsi="Traditional Arabic" w:cs="Traditional Arabic"/>
          <w:sz w:val="32"/>
          <w:szCs w:val="32"/>
          <w:rtl/>
        </w:rPr>
        <w:t xml:space="preserve"> </w:t>
      </w:r>
      <w:r w:rsidR="0076307D" w:rsidRPr="00966167">
        <w:rPr>
          <w:rFonts w:ascii="Traditional Arabic" w:eastAsia="Times New Roman" w:hAnsi="Traditional Arabic" w:cs="Traditional Arabic" w:hint="cs"/>
          <w:sz w:val="32"/>
          <w:szCs w:val="32"/>
          <w:rtl/>
        </w:rPr>
        <w:t>تريليو</w:t>
      </w:r>
      <w:r w:rsidR="0076307D" w:rsidRPr="00966167">
        <w:rPr>
          <w:rFonts w:ascii="Traditional Arabic" w:eastAsia="Times New Roman" w:hAnsi="Traditional Arabic" w:cs="Traditional Arabic" w:hint="eastAsia"/>
          <w:sz w:val="32"/>
          <w:szCs w:val="32"/>
          <w:rtl/>
        </w:rPr>
        <w:t>ن</w:t>
      </w:r>
      <w:r w:rsidR="00B52C5C" w:rsidRPr="00966167">
        <w:rPr>
          <w:rFonts w:ascii="Traditional Arabic" w:eastAsia="Times New Roman" w:hAnsi="Traditional Arabic" w:cs="Traditional Arabic"/>
          <w:sz w:val="32"/>
          <w:szCs w:val="32"/>
          <w:rtl/>
        </w:rPr>
        <w:t xml:space="preserve"> دولار</w:t>
      </w:r>
      <w:r w:rsidR="00B52C5C"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tl/>
        </w:rPr>
        <w:t xml:space="preserve">أنواع صناديق الثروة </w:t>
      </w:r>
      <w:r w:rsidR="00485F25">
        <w:rPr>
          <w:rFonts w:ascii="Traditional Arabic" w:eastAsia="Times New Roman" w:hAnsi="Traditional Arabic" w:cs="Traditional Arabic"/>
          <w:b/>
          <w:bCs/>
          <w:sz w:val="32"/>
          <w:szCs w:val="32"/>
          <w:rtl/>
        </w:rPr>
        <w:t>السياديَّة</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تنشئ الحكومات صناديق الثروة </w:t>
      </w:r>
      <w:r w:rsidR="00485F25">
        <w:rPr>
          <w:rFonts w:ascii="Traditional Arabic" w:eastAsia="Times New Roman" w:hAnsi="Traditional Arabic" w:cs="Traditional Arabic"/>
          <w:sz w:val="32"/>
          <w:szCs w:val="32"/>
          <w:rtl/>
        </w:rPr>
        <w:t>السياديَّة</w:t>
      </w:r>
      <w:r w:rsidR="00B12C6C">
        <w:rPr>
          <w:rFonts w:ascii="Traditional Arabic" w:eastAsia="Times New Roman" w:hAnsi="Traditional Arabic" w:cs="Traditional Arabic"/>
          <w:sz w:val="32"/>
          <w:szCs w:val="32"/>
          <w:rtl/>
        </w:rPr>
        <w:t xml:space="preserve"> لأسباب عديدة</w:t>
      </w:r>
      <w:r w:rsidR="00B12C6C">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 xml:space="preserve"> وتشير تحليلات صندوق النقد الدولي إلى وجود أربع أنواع من هذه الصناديق يمكن التمييز بينها عموما</w:t>
      </w:r>
      <w:r w:rsidR="00FC050A">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w:t>
      </w:r>
      <w:r w:rsidRPr="00FC050A">
        <w:rPr>
          <w:rFonts w:ascii="Traditional Arabic" w:eastAsia="Times New Roman" w:hAnsi="Traditional Arabic" w:cs="Traditional Arabic"/>
          <w:b/>
          <w:bCs/>
          <w:sz w:val="32"/>
          <w:szCs w:val="32"/>
          <w:rtl/>
        </w:rPr>
        <w:t>وفقا</w:t>
      </w:r>
      <w:r w:rsidR="00FC050A" w:rsidRPr="00FC050A">
        <w:rPr>
          <w:rFonts w:ascii="Traditional Arabic" w:eastAsia="Times New Roman" w:hAnsi="Traditional Arabic" w:cs="Traditional Arabic" w:hint="cs"/>
          <w:b/>
          <w:bCs/>
          <w:sz w:val="32"/>
          <w:szCs w:val="32"/>
          <w:rtl/>
        </w:rPr>
        <w:t>ً</w:t>
      </w:r>
      <w:r w:rsidRPr="00FC050A">
        <w:rPr>
          <w:rFonts w:ascii="Traditional Arabic" w:eastAsia="Times New Roman" w:hAnsi="Traditional Arabic" w:cs="Traditional Arabic"/>
          <w:b/>
          <w:bCs/>
          <w:sz w:val="32"/>
          <w:szCs w:val="32"/>
          <w:rtl/>
        </w:rPr>
        <w:t xml:space="preserve"> </w:t>
      </w:r>
      <w:r w:rsidRPr="00966167">
        <w:rPr>
          <w:rFonts w:ascii="Traditional Arabic" w:eastAsia="Times New Roman" w:hAnsi="Traditional Arabic" w:cs="Traditional Arabic"/>
          <w:b/>
          <w:bCs/>
          <w:sz w:val="32"/>
          <w:szCs w:val="32"/>
          <w:rtl/>
        </w:rPr>
        <w:t xml:space="preserve">لهدفها الأساسي </w:t>
      </w:r>
      <w:r w:rsidRPr="00FC050A">
        <w:rPr>
          <w:rFonts w:ascii="Traditional Arabic" w:eastAsia="Times New Roman" w:hAnsi="Traditional Arabic" w:cs="Traditional Arabic"/>
          <w:sz w:val="32"/>
          <w:szCs w:val="32"/>
          <w:rtl/>
        </w:rPr>
        <w:t>وهي</w:t>
      </w:r>
      <w:r w:rsidRPr="00FC050A">
        <w:rPr>
          <w:rFonts w:ascii="Traditional Arabic" w:eastAsia="Times New Roman" w:hAnsi="Traditional Arabic" w:cs="Traditional Arabic"/>
          <w:sz w:val="32"/>
          <w:szCs w:val="32"/>
        </w:rPr>
        <w:t>:</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b/>
          <w:bCs/>
          <w:sz w:val="32"/>
          <w:szCs w:val="32"/>
          <w:rtl/>
        </w:rPr>
        <w:t>صناديق الاستقرار</w:t>
      </w:r>
      <w:r w:rsidRPr="00966167">
        <w:rPr>
          <w:rFonts w:ascii="Traditional Arabic" w:eastAsia="Times New Roman" w:hAnsi="Traditional Arabic" w:cs="Traditional Arabic"/>
          <w:sz w:val="32"/>
          <w:szCs w:val="32"/>
          <w:rtl/>
        </w:rPr>
        <w:t>:  التي يتمثل هدفها الأساسي في حماية الميزانية والاقتصاد ككل من تذبذبات أسعار سلع النفط في العادة</w:t>
      </w:r>
      <w:r w:rsidRPr="00966167">
        <w:rPr>
          <w:rFonts w:ascii="Traditional Arabic" w:eastAsia="Times New Roman" w:hAnsi="Traditional Arabic" w:cs="Traditional Arabic"/>
          <w:sz w:val="32"/>
          <w:szCs w:val="32"/>
        </w:rPr>
        <w:t>.</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b/>
          <w:bCs/>
          <w:sz w:val="32"/>
          <w:szCs w:val="32"/>
          <w:rtl/>
        </w:rPr>
        <w:t>صناديق الادخار للأجيال القادمة</w:t>
      </w:r>
      <w:r w:rsidR="00FC050A">
        <w:rPr>
          <w:rFonts w:ascii="Traditional Arabic" w:eastAsia="Times New Roman" w:hAnsi="Traditional Arabic" w:cs="Traditional Arabic" w:hint="cs"/>
          <w:b/>
          <w:bCs/>
          <w:sz w:val="32"/>
          <w:szCs w:val="32"/>
          <w:rtl/>
        </w:rPr>
        <w:t xml:space="preserve"> </w:t>
      </w:r>
      <w:r w:rsidRPr="00966167">
        <w:rPr>
          <w:rFonts w:ascii="Traditional Arabic" w:eastAsia="Times New Roman" w:hAnsi="Traditional Arabic" w:cs="Traditional Arabic"/>
          <w:sz w:val="32"/>
          <w:szCs w:val="32"/>
        </w:rPr>
        <w:t>:</w:t>
      </w:r>
      <w:r w:rsidRPr="00966167">
        <w:rPr>
          <w:rFonts w:ascii="Traditional Arabic" w:eastAsia="Times New Roman" w:hAnsi="Traditional Arabic" w:cs="Traditional Arabic"/>
          <w:sz w:val="32"/>
          <w:szCs w:val="32"/>
          <w:rtl/>
        </w:rPr>
        <w:t xml:space="preserve"> التي تهدف  إلى تحويل الأصول غير المتجددة إلى حافظة أصول أكثر تنوعا</w:t>
      </w:r>
      <w:r w:rsidR="00FC050A">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Pr>
        <w:t>.</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tl/>
        </w:rPr>
        <w:t>•</w:t>
      </w:r>
      <w:r w:rsidRPr="00966167">
        <w:rPr>
          <w:rFonts w:ascii="Traditional Arabic" w:eastAsia="Times New Roman" w:hAnsi="Traditional Arabic" w:cs="Traditional Arabic"/>
          <w:b/>
          <w:bCs/>
          <w:sz w:val="14"/>
          <w:szCs w:val="14"/>
          <w:rtl/>
        </w:rPr>
        <w:t xml:space="preserve">         </w:t>
      </w:r>
      <w:r w:rsidRPr="00966167">
        <w:rPr>
          <w:rFonts w:ascii="Traditional Arabic" w:eastAsia="Times New Roman" w:hAnsi="Traditional Arabic" w:cs="Traditional Arabic"/>
          <w:b/>
          <w:bCs/>
          <w:sz w:val="32"/>
          <w:szCs w:val="32"/>
          <w:rtl/>
        </w:rPr>
        <w:t>شركات استثمار الاحتياطيات</w:t>
      </w:r>
      <w:r w:rsidRPr="00966167">
        <w:rPr>
          <w:rFonts w:ascii="Traditional Arabic" w:eastAsia="Times New Roman" w:hAnsi="Traditional Arabic" w:cs="Traditional Arabic"/>
          <w:sz w:val="32"/>
          <w:szCs w:val="32"/>
          <w:rtl/>
        </w:rPr>
        <w:t xml:space="preserve"> التي لا تزال  أصولها تدرَج في الغالب ضمن فئة الأصول الاحتياطية ويتم إنشاؤها لزيادة العائد على الاحتياطيات</w:t>
      </w:r>
      <w:r w:rsidRPr="00966167">
        <w:rPr>
          <w:rFonts w:ascii="Traditional Arabic" w:eastAsia="Times New Roman" w:hAnsi="Traditional Arabic" w:cs="Traditional Arabic"/>
          <w:b/>
          <w:bCs/>
          <w:sz w:val="32"/>
          <w:szCs w:val="32"/>
        </w:rPr>
        <w:t>.</w:t>
      </w:r>
    </w:p>
    <w:p w:rsidR="00B52C5C" w:rsidRPr="00966167" w:rsidRDefault="00B52C5C" w:rsidP="00FC050A">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b/>
          <w:bCs/>
          <w:sz w:val="32"/>
          <w:szCs w:val="32"/>
          <w:rtl/>
        </w:rPr>
        <w:t>صناديق التنمية</w:t>
      </w:r>
      <w:r w:rsidRPr="00966167">
        <w:rPr>
          <w:rFonts w:ascii="Traditional Arabic" w:eastAsia="Times New Roman" w:hAnsi="Traditional Arabic" w:cs="Traditional Arabic"/>
          <w:sz w:val="32"/>
          <w:szCs w:val="32"/>
          <w:rtl/>
        </w:rPr>
        <w:t>: التي تساعد في العادة على تمويل المشاريع الاجتماعية-الاقتصادية أو تشجيع السياسات المتبعة في قطاعات النشاط والتي يمكن أن تعزز نمو الناتج المحتمل في البلد المعني</w:t>
      </w:r>
      <w:r w:rsidRPr="00966167">
        <w:rPr>
          <w:rFonts w:ascii="Traditional Arabic" w:eastAsia="Times New Roman" w:hAnsi="Traditional Arabic" w:cs="Traditional Arabic"/>
          <w:sz w:val="32"/>
          <w:szCs w:val="32"/>
        </w:rPr>
        <w:t xml:space="preserve"> .</w:t>
      </w:r>
    </w:p>
    <w:p w:rsidR="00B52C5C" w:rsidRPr="00FC050A" w:rsidRDefault="00B52C5C" w:rsidP="00B52C5C">
      <w:pPr>
        <w:jc w:val="both"/>
        <w:rPr>
          <w:rFonts w:ascii="Traditional Arabic" w:eastAsia="Times New Roman" w:hAnsi="Traditional Arabic" w:cs="Traditional Arabic"/>
          <w:rtl/>
        </w:rPr>
      </w:pPr>
      <w:r w:rsidRPr="00FC050A">
        <w:rPr>
          <w:rFonts w:ascii="Traditional Arabic" w:eastAsia="Times New Roman" w:hAnsi="Traditional Arabic" w:cs="Traditional Arabic"/>
          <w:sz w:val="32"/>
          <w:szCs w:val="32"/>
          <w:rtl/>
        </w:rPr>
        <w:t xml:space="preserve">يتم تصنيف الصناديق </w:t>
      </w:r>
      <w:r w:rsidR="00485F25" w:rsidRPr="00FC050A">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b/>
          <w:bCs/>
          <w:sz w:val="32"/>
          <w:szCs w:val="32"/>
          <w:rtl/>
        </w:rPr>
        <w:t xml:space="preserve"> </w:t>
      </w:r>
      <w:r w:rsidR="0076307D">
        <w:rPr>
          <w:rFonts w:ascii="Traditional Arabic" w:eastAsia="Times New Roman" w:hAnsi="Traditional Arabic" w:cs="Traditional Arabic"/>
          <w:b/>
          <w:bCs/>
          <w:sz w:val="32"/>
          <w:szCs w:val="32"/>
          <w:rtl/>
        </w:rPr>
        <w:t>تبعاً</w:t>
      </w:r>
      <w:r w:rsidRPr="00966167">
        <w:rPr>
          <w:rFonts w:ascii="Traditional Arabic" w:eastAsia="Times New Roman" w:hAnsi="Traditional Arabic" w:cs="Traditional Arabic"/>
          <w:b/>
          <w:bCs/>
          <w:sz w:val="32"/>
          <w:szCs w:val="32"/>
          <w:rtl/>
        </w:rPr>
        <w:t xml:space="preserve"> إلى مصادر دخلها </w:t>
      </w:r>
      <w:r w:rsidRPr="00FC050A">
        <w:rPr>
          <w:rFonts w:ascii="Traditional Arabic" w:eastAsia="Times New Roman" w:hAnsi="Traditional Arabic" w:cs="Traditional Arabic"/>
          <w:sz w:val="32"/>
          <w:szCs w:val="32"/>
          <w:rtl/>
        </w:rPr>
        <w:t>إلى</w:t>
      </w:r>
      <w:r w:rsidRPr="00FC050A">
        <w:rPr>
          <w:rFonts w:ascii="Traditional Arabic" w:eastAsia="Times New Roman" w:hAnsi="Traditional Arabic" w:cs="Traditional Arabic"/>
          <w:sz w:val="32"/>
          <w:szCs w:val="32"/>
        </w:rPr>
        <w:t>:</w:t>
      </w:r>
    </w:p>
    <w:p w:rsidR="00B52C5C" w:rsidRPr="00FC050A" w:rsidRDefault="00B52C5C" w:rsidP="00FC050A">
      <w:pPr>
        <w:pStyle w:val="a3"/>
        <w:numPr>
          <w:ilvl w:val="0"/>
          <w:numId w:val="2"/>
        </w:numPr>
        <w:jc w:val="both"/>
        <w:rPr>
          <w:rFonts w:ascii="Traditional Arabic" w:hAnsi="Traditional Arabic" w:cs="Traditional Arabic"/>
          <w:rtl/>
        </w:rPr>
      </w:pPr>
      <w:r w:rsidRPr="00FC050A">
        <w:rPr>
          <w:rFonts w:ascii="Traditional Arabic" w:hAnsi="Traditional Arabic" w:cs="Traditional Arabic" w:hint="cs"/>
          <w:b/>
          <w:bCs/>
          <w:sz w:val="32"/>
          <w:szCs w:val="32"/>
          <w:rtl/>
        </w:rPr>
        <w:t>الصناديق الممولة عن طريق عوائد المواد الأولية</w:t>
      </w:r>
    </w:p>
    <w:p w:rsidR="00B52C5C" w:rsidRPr="00966167" w:rsidRDefault="00B52C5C" w:rsidP="00FC050A">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w:t>
      </w:r>
      <w:r w:rsidRPr="00966167">
        <w:rPr>
          <w:rFonts w:ascii="Traditional Arabic" w:eastAsia="Times New Roman" w:hAnsi="Traditional Arabic" w:cs="Traditional Arabic"/>
          <w:sz w:val="32"/>
          <w:szCs w:val="32"/>
          <w:rtl/>
        </w:rPr>
        <w:t>هي صناديق تكونها الدول المصدرة للمواد الأولية وأساسا</w:t>
      </w:r>
      <w:r w:rsidR="00FC050A">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النفطية. ذلك أنه تطرح أمام هذه الدول إشكالية استغلال هذه المواد التي يتسم معظمها بقابلية النضوب، وما إذا كان من الواجب إبقاء جزء منها </w:t>
      </w:r>
      <w:r w:rsidRPr="00966167">
        <w:rPr>
          <w:rFonts w:ascii="Traditional Arabic" w:eastAsia="Times New Roman" w:hAnsi="Traditional Arabic" w:cs="Traditional Arabic"/>
          <w:sz w:val="32"/>
          <w:szCs w:val="32"/>
          <w:rtl/>
        </w:rPr>
        <w:lastRenderedPageBreak/>
        <w:t>في مكامنها كحق للأجيال اللاحقة. ولقد وجدت هذه الدول في فكرة الصناديق حلا للمحافظة على نصيب الأجيال في هذه الثروات بحيث يتم إحلال الموارد الطبيعية بشكل آخر من الأصول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lang w:bidi="ar-SY"/>
        </w:rPr>
        <w:t> </w:t>
      </w:r>
    </w:p>
    <w:p w:rsidR="00B52C5C" w:rsidRPr="00FC050A" w:rsidRDefault="00B52C5C" w:rsidP="00FC050A">
      <w:pPr>
        <w:pStyle w:val="a3"/>
        <w:numPr>
          <w:ilvl w:val="0"/>
          <w:numId w:val="2"/>
        </w:numPr>
        <w:jc w:val="both"/>
        <w:rPr>
          <w:rFonts w:ascii="Traditional Arabic" w:hAnsi="Traditional Arabic" w:cs="Traditional Arabic"/>
          <w:rtl/>
        </w:rPr>
      </w:pPr>
      <w:r w:rsidRPr="00FC050A">
        <w:rPr>
          <w:rFonts w:ascii="Traditional Arabic" w:hAnsi="Traditional Arabic" w:cs="Traditional Arabic" w:hint="cs"/>
          <w:b/>
          <w:bCs/>
          <w:sz w:val="32"/>
          <w:szCs w:val="32"/>
          <w:rtl/>
        </w:rPr>
        <w:t xml:space="preserve">الصناديق الممولة بفوائض المدفوعات الجارية </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ذلك أن الحجم الإجمالي العالمي من احتياطات العملات الأجنبية للبنوك المركزية في تعاظم  مستمر بح</w:t>
      </w:r>
      <w:r w:rsidR="00FC050A">
        <w:rPr>
          <w:rFonts w:ascii="Traditional Arabic" w:eastAsia="Times New Roman" w:hAnsi="Traditional Arabic" w:cs="Traditional Arabic"/>
          <w:sz w:val="32"/>
          <w:szCs w:val="32"/>
          <w:rtl/>
        </w:rPr>
        <w:t xml:space="preserve">يث تجاوز </w:t>
      </w:r>
      <w:r w:rsidR="00FC050A" w:rsidRPr="005202E9">
        <w:rPr>
          <w:rFonts w:ascii="Traditional Arabic" w:eastAsia="Times New Roman" w:hAnsi="Traditional Arabic" w:cs="Traditional Arabic"/>
          <w:sz w:val="24"/>
          <w:szCs w:val="24"/>
          <w:rtl/>
        </w:rPr>
        <w:t xml:space="preserve">7 </w:t>
      </w:r>
      <w:r w:rsidR="00FC050A">
        <w:rPr>
          <w:rFonts w:ascii="Traditional Arabic" w:eastAsia="Times New Roman" w:hAnsi="Traditional Arabic" w:cs="Traditional Arabic"/>
          <w:sz w:val="32"/>
          <w:szCs w:val="32"/>
          <w:rtl/>
        </w:rPr>
        <w:t>تريليون دولار في سنة</w:t>
      </w:r>
      <w:r w:rsidRPr="00966167">
        <w:rPr>
          <w:rFonts w:ascii="Traditional Arabic" w:eastAsia="Times New Roman" w:hAnsi="Traditional Arabic" w:cs="Traditional Arabic"/>
          <w:sz w:val="32"/>
          <w:szCs w:val="32"/>
          <w:rtl/>
        </w:rPr>
        <w:t xml:space="preserve"> </w:t>
      </w:r>
      <w:r w:rsidRPr="005202E9">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rPr>
        <w:t xml:space="preserve">  ولقد تزايد حجمها في سنة </w:t>
      </w:r>
      <w:r w:rsidRPr="005202E9">
        <w:rPr>
          <w:rFonts w:ascii="Traditional Arabic" w:eastAsia="Times New Roman" w:hAnsi="Traditional Arabic" w:cs="Traditional Arabic"/>
          <w:sz w:val="24"/>
          <w:szCs w:val="24"/>
          <w:rtl/>
        </w:rPr>
        <w:t>2007</w:t>
      </w:r>
      <w:r w:rsidRPr="00966167">
        <w:rPr>
          <w:rFonts w:ascii="Traditional Arabic" w:eastAsia="Times New Roman" w:hAnsi="Traditional Arabic" w:cs="Traditional Arabic"/>
          <w:sz w:val="32"/>
          <w:szCs w:val="32"/>
          <w:rtl/>
        </w:rPr>
        <w:t xml:space="preserve"> لوحدها </w:t>
      </w:r>
      <w:proofErr w:type="spellStart"/>
      <w:r w:rsidRPr="00966167">
        <w:rPr>
          <w:rFonts w:ascii="Traditional Arabic" w:eastAsia="Times New Roman" w:hAnsi="Traditional Arabic" w:cs="Traditional Arabic"/>
          <w:sz w:val="32"/>
          <w:szCs w:val="32"/>
          <w:rtl/>
        </w:rPr>
        <w:t>ب</w:t>
      </w:r>
      <w:r w:rsidR="00FC050A">
        <w:rPr>
          <w:rFonts w:ascii="Traditional Arabic" w:eastAsia="Times New Roman" w:hAnsi="Traditional Arabic" w:cs="Traditional Arabic" w:hint="cs"/>
          <w:sz w:val="32"/>
          <w:szCs w:val="32"/>
          <w:rtl/>
        </w:rPr>
        <w:t>ــ</w:t>
      </w:r>
      <w:proofErr w:type="spellEnd"/>
      <w:r w:rsidRPr="00966167">
        <w:rPr>
          <w:rFonts w:ascii="Traditional Arabic" w:eastAsia="Times New Roman" w:hAnsi="Traditional Arabic" w:cs="Traditional Arabic"/>
          <w:sz w:val="32"/>
          <w:szCs w:val="32"/>
          <w:rtl/>
        </w:rPr>
        <w:t xml:space="preserve"> </w:t>
      </w:r>
      <w:r w:rsidRPr="005202E9">
        <w:rPr>
          <w:rFonts w:ascii="Traditional Arabic" w:eastAsia="Times New Roman" w:hAnsi="Traditional Arabic" w:cs="Traditional Arabic"/>
          <w:sz w:val="24"/>
          <w:szCs w:val="24"/>
          <w:rtl/>
        </w:rPr>
        <w:t>1</w:t>
      </w:r>
      <w:r w:rsidRPr="00966167">
        <w:rPr>
          <w:rFonts w:ascii="Traditional Arabic" w:eastAsia="Times New Roman" w:hAnsi="Traditional Arabic" w:cs="Traditional Arabic"/>
          <w:sz w:val="32"/>
          <w:szCs w:val="32"/>
          <w:rtl/>
        </w:rPr>
        <w:t xml:space="preserve"> تريليون دولار</w:t>
      </w:r>
      <w:r w:rsidRPr="00966167">
        <w:rPr>
          <w:rFonts w:ascii="Traditional Arabic" w:eastAsia="Times New Roman" w:hAnsi="Traditional Arabic" w:cs="Traditional Arabic"/>
          <w:sz w:val="32"/>
          <w:szCs w:val="32"/>
        </w:rPr>
        <w:t>.</w:t>
      </w:r>
    </w:p>
    <w:p w:rsidR="00B52C5C" w:rsidRPr="00966167" w:rsidRDefault="00B52C5C" w:rsidP="00FC050A">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ولقد استطاعت الكثير من الدول غير النفطية تحقيق فوائض  مالية هامة، خاصة في أمريكا اللاتينية، بفضل تنافسيتها التصديرية على مستوى الأسواق العالمية بما يفيض عن احتياجات الاستثمار المحلي؛ مما دفعها إلى تحويل جزء من هذه الفوائض إلى صناديق سيا</w:t>
      </w:r>
      <w:r w:rsidR="00FC050A">
        <w:rPr>
          <w:rFonts w:ascii="Traditional Arabic" w:eastAsia="Times New Roman" w:hAnsi="Traditional Arabic" w:cs="Traditional Arabic"/>
          <w:sz w:val="32"/>
          <w:szCs w:val="32"/>
          <w:rtl/>
        </w:rPr>
        <w:t>دية، بعد أن وازنت بين الاحتفاظ </w:t>
      </w:r>
      <w:r w:rsidRPr="00966167">
        <w:rPr>
          <w:rFonts w:ascii="Traditional Arabic" w:eastAsia="Times New Roman" w:hAnsi="Traditional Arabic" w:cs="Traditional Arabic"/>
          <w:sz w:val="32"/>
          <w:szCs w:val="32"/>
          <w:rtl/>
        </w:rPr>
        <w:t>كاحتياطيات نقدية أو استثمارها بما يحقق لها عوائد.</w:t>
      </w:r>
    </w:p>
    <w:p w:rsidR="00B52C5C" w:rsidRPr="00FC050A" w:rsidRDefault="00B52C5C" w:rsidP="00FC050A">
      <w:pPr>
        <w:pStyle w:val="a3"/>
        <w:numPr>
          <w:ilvl w:val="0"/>
          <w:numId w:val="2"/>
        </w:numPr>
        <w:jc w:val="both"/>
        <w:rPr>
          <w:rFonts w:ascii="Traditional Arabic" w:hAnsi="Traditional Arabic" w:cs="Traditional Arabic"/>
          <w:rtl/>
        </w:rPr>
      </w:pPr>
      <w:r w:rsidRPr="00FC050A">
        <w:rPr>
          <w:rFonts w:ascii="Traditional Arabic" w:hAnsi="Traditional Arabic" w:cs="Traditional Arabic" w:hint="cs"/>
          <w:b/>
          <w:bCs/>
          <w:sz w:val="32"/>
          <w:szCs w:val="32"/>
          <w:rtl/>
        </w:rPr>
        <w:t>الصناديق الممولة ب</w:t>
      </w:r>
      <w:r w:rsidR="00FC050A" w:rsidRPr="00FC050A">
        <w:rPr>
          <w:rFonts w:ascii="Traditional Arabic" w:hAnsi="Traditional Arabic" w:cs="Traditional Arabic"/>
          <w:b/>
          <w:bCs/>
          <w:sz w:val="32"/>
          <w:szCs w:val="32"/>
          <w:rtl/>
        </w:rPr>
        <w:t>عوائد الخ</w:t>
      </w:r>
      <w:r w:rsidRPr="00FC050A">
        <w:rPr>
          <w:rFonts w:ascii="Traditional Arabic" w:hAnsi="Traditional Arabic" w:cs="Traditional Arabic"/>
          <w:b/>
          <w:bCs/>
          <w:sz w:val="32"/>
          <w:szCs w:val="32"/>
          <w:rtl/>
        </w:rPr>
        <w:t>ص</w:t>
      </w:r>
      <w:r w:rsidR="00FC050A" w:rsidRPr="00FC050A">
        <w:rPr>
          <w:rFonts w:ascii="Traditional Arabic" w:hAnsi="Traditional Arabic" w:cs="Traditional Arabic" w:hint="cs"/>
          <w:b/>
          <w:bCs/>
          <w:sz w:val="32"/>
          <w:szCs w:val="32"/>
          <w:rtl/>
        </w:rPr>
        <w:t>خ</w:t>
      </w:r>
      <w:r w:rsidRPr="00FC050A">
        <w:rPr>
          <w:rFonts w:ascii="Traditional Arabic" w:hAnsi="Traditional Arabic" w:cs="Traditional Arabic"/>
          <w:b/>
          <w:bCs/>
          <w:sz w:val="32"/>
          <w:szCs w:val="32"/>
          <w:rtl/>
        </w:rPr>
        <w:t>صة</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w:t>
      </w:r>
      <w:r w:rsidRPr="00966167">
        <w:rPr>
          <w:rFonts w:ascii="Traditional Arabic" w:eastAsia="Times New Roman" w:hAnsi="Traditional Arabic" w:cs="Traditional Arabic"/>
          <w:sz w:val="32"/>
          <w:szCs w:val="32"/>
          <w:rtl/>
        </w:rPr>
        <w:t>دخلت ال</w:t>
      </w:r>
      <w:r w:rsidR="00FC050A">
        <w:rPr>
          <w:rFonts w:ascii="Traditional Arabic" w:eastAsia="Times New Roman" w:hAnsi="Traditional Arabic" w:cs="Traditional Arabic"/>
          <w:sz w:val="32"/>
          <w:szCs w:val="32"/>
          <w:rtl/>
        </w:rPr>
        <w:t>كثير من الدول في برامج واسعة لخ</w:t>
      </w:r>
      <w:r w:rsidRPr="00966167">
        <w:rPr>
          <w:rFonts w:ascii="Traditional Arabic" w:eastAsia="Times New Roman" w:hAnsi="Traditional Arabic" w:cs="Traditional Arabic"/>
          <w:sz w:val="32"/>
          <w:szCs w:val="32"/>
          <w:rtl/>
        </w:rPr>
        <w:t>ص</w:t>
      </w:r>
      <w:r w:rsidR="00FC050A">
        <w:rPr>
          <w:rFonts w:ascii="Traditional Arabic" w:eastAsia="Times New Roman" w:hAnsi="Traditional Arabic" w:cs="Traditional Arabic" w:hint="cs"/>
          <w:sz w:val="32"/>
          <w:szCs w:val="32"/>
          <w:rtl/>
        </w:rPr>
        <w:t>خ</w:t>
      </w:r>
      <w:r w:rsidR="00FC050A">
        <w:rPr>
          <w:rFonts w:ascii="Traditional Arabic" w:eastAsia="Times New Roman" w:hAnsi="Traditional Arabic" w:cs="Traditional Arabic"/>
          <w:sz w:val="32"/>
          <w:szCs w:val="32"/>
          <w:rtl/>
        </w:rPr>
        <w:t>صة القطاع ال</w:t>
      </w:r>
      <w:r w:rsidR="00FC050A">
        <w:rPr>
          <w:rFonts w:ascii="Traditional Arabic" w:eastAsia="Times New Roman" w:hAnsi="Traditional Arabic" w:cs="Traditional Arabic" w:hint="cs"/>
          <w:sz w:val="32"/>
          <w:szCs w:val="32"/>
          <w:rtl/>
        </w:rPr>
        <w:t>حك</w:t>
      </w:r>
      <w:r w:rsidRPr="00966167">
        <w:rPr>
          <w:rFonts w:ascii="Traditional Arabic" w:eastAsia="Times New Roman" w:hAnsi="Traditional Arabic" w:cs="Traditional Arabic"/>
          <w:sz w:val="32"/>
          <w:szCs w:val="32"/>
          <w:rtl/>
        </w:rPr>
        <w:t xml:space="preserve">ومي أدت إلى حصولها على عوائد مالية ضخمة. </w:t>
      </w:r>
      <w:r w:rsidR="00FC050A">
        <w:rPr>
          <w:rFonts w:ascii="Traditional Arabic" w:eastAsia="Times New Roman" w:hAnsi="Traditional Arabic" w:cs="Traditional Arabic"/>
          <w:sz w:val="32"/>
          <w:szCs w:val="32"/>
          <w:rtl/>
        </w:rPr>
        <w:t>ففي فرنسا بلغت عوائد برنامج الخ</w:t>
      </w:r>
      <w:r w:rsidRPr="00966167">
        <w:rPr>
          <w:rFonts w:ascii="Traditional Arabic" w:eastAsia="Times New Roman" w:hAnsi="Traditional Arabic" w:cs="Traditional Arabic"/>
          <w:sz w:val="32"/>
          <w:szCs w:val="32"/>
          <w:rtl/>
        </w:rPr>
        <w:t>ص</w:t>
      </w:r>
      <w:r w:rsidR="00FC050A">
        <w:rPr>
          <w:rFonts w:ascii="Traditional Arabic" w:eastAsia="Times New Roman" w:hAnsi="Traditional Arabic" w:cs="Traditional Arabic" w:hint="cs"/>
          <w:sz w:val="32"/>
          <w:szCs w:val="32"/>
          <w:rtl/>
        </w:rPr>
        <w:t>خ</w:t>
      </w:r>
      <w:r w:rsidRPr="00966167">
        <w:rPr>
          <w:rFonts w:ascii="Traditional Arabic" w:eastAsia="Times New Roman" w:hAnsi="Traditional Arabic" w:cs="Traditional Arabic"/>
          <w:sz w:val="32"/>
          <w:szCs w:val="32"/>
          <w:rtl/>
        </w:rPr>
        <w:t xml:space="preserve">صة </w:t>
      </w:r>
      <w:r w:rsidRPr="005202E9">
        <w:rPr>
          <w:rFonts w:ascii="Traditional Arabic" w:eastAsia="Times New Roman" w:hAnsi="Traditional Arabic" w:cs="Traditional Arabic"/>
          <w:sz w:val="24"/>
          <w:szCs w:val="24"/>
          <w:rtl/>
        </w:rPr>
        <w:t>24</w:t>
      </w:r>
      <w:r w:rsidRPr="00966167">
        <w:rPr>
          <w:rFonts w:ascii="Traditional Arabic" w:eastAsia="Times New Roman" w:hAnsi="Traditional Arabic" w:cs="Traditional Arabic"/>
          <w:sz w:val="32"/>
          <w:szCs w:val="32"/>
          <w:rtl/>
        </w:rPr>
        <w:t xml:space="preserve"> مليار دولا</w:t>
      </w:r>
      <w:r w:rsidR="00FC050A">
        <w:rPr>
          <w:rFonts w:ascii="Traditional Arabic" w:eastAsia="Times New Roman" w:hAnsi="Traditional Arabic" w:cs="Traditional Arabic"/>
          <w:sz w:val="32"/>
          <w:szCs w:val="32"/>
          <w:rtl/>
        </w:rPr>
        <w:t>ر ،  وفي الجزائر بلغت عوائد الخ</w:t>
      </w:r>
      <w:r w:rsidRPr="00966167">
        <w:rPr>
          <w:rFonts w:ascii="Traditional Arabic" w:eastAsia="Times New Roman" w:hAnsi="Traditional Arabic" w:cs="Traditional Arabic"/>
          <w:sz w:val="32"/>
          <w:szCs w:val="32"/>
          <w:rtl/>
        </w:rPr>
        <w:t>ص</w:t>
      </w:r>
      <w:r w:rsidR="00FC050A">
        <w:rPr>
          <w:rFonts w:ascii="Traditional Arabic" w:eastAsia="Times New Roman" w:hAnsi="Traditional Arabic" w:cs="Traditional Arabic" w:hint="cs"/>
          <w:sz w:val="32"/>
          <w:szCs w:val="32"/>
          <w:rtl/>
        </w:rPr>
        <w:t>خ</w:t>
      </w:r>
      <w:r w:rsidRPr="00966167">
        <w:rPr>
          <w:rFonts w:ascii="Traditional Arabic" w:eastAsia="Times New Roman" w:hAnsi="Traditional Arabic" w:cs="Traditional Arabic"/>
          <w:sz w:val="32"/>
          <w:szCs w:val="32"/>
          <w:rtl/>
        </w:rPr>
        <w:t xml:space="preserve">صة خلال أربع سنوات إلى غاية </w:t>
      </w:r>
      <w:r w:rsidRPr="005202E9">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rPr>
        <w:t xml:space="preserve"> حجم </w:t>
      </w:r>
      <w:r w:rsidRPr="005202E9">
        <w:rPr>
          <w:rFonts w:ascii="Traditional Arabic" w:eastAsia="Times New Roman" w:hAnsi="Traditional Arabic" w:cs="Traditional Arabic"/>
          <w:sz w:val="24"/>
          <w:szCs w:val="24"/>
          <w:rtl/>
        </w:rPr>
        <w:t>16</w:t>
      </w:r>
      <w:r w:rsidRPr="00966167">
        <w:rPr>
          <w:rFonts w:ascii="Traditional Arabic" w:eastAsia="Times New Roman" w:hAnsi="Traditional Arabic" w:cs="Traditional Arabic"/>
          <w:sz w:val="32"/>
          <w:szCs w:val="32"/>
          <w:rtl/>
        </w:rPr>
        <w:t xml:space="preserve"> مليار دور. وتتباين استعمالات الدول لهذه العوائد. فمنها من يوجهها مباشرة لتمويل الميزانية العمومية، وفي بعض الأحيان لتمويل برامج إعادة هيكلة الاقتصاد وسداد الديون. ونظرا</w:t>
      </w:r>
      <w:r w:rsidR="00FC050A">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لضخامة هذه العوائد وتخوفا</w:t>
      </w:r>
      <w:r w:rsidR="00FC050A">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من أن تقود إلى توسع كبير في الإنفاق العمومي يكون أكبر من الطاقة الاستيعابية للاقتصاد، والذي يمكن أن يؤدي إلى حالة من التضخم غير المقدور على التحكم فيها. وانطلاقا</w:t>
      </w:r>
      <w:r w:rsidR="00FC050A">
        <w:rPr>
          <w:rFonts w:ascii="Traditional Arabic" w:eastAsia="Times New Roman" w:hAnsi="Traditional Arabic" w:cs="Traditional Arabic" w:hint="cs"/>
          <w:sz w:val="32"/>
          <w:szCs w:val="32"/>
          <w:rtl/>
        </w:rPr>
        <w:t>ً</w:t>
      </w:r>
      <w:r w:rsidR="00FC050A">
        <w:rPr>
          <w:rFonts w:ascii="Traditional Arabic" w:eastAsia="Times New Roman" w:hAnsi="Traditional Arabic" w:cs="Traditional Arabic"/>
          <w:sz w:val="32"/>
          <w:szCs w:val="32"/>
          <w:rtl/>
        </w:rPr>
        <w:t xml:space="preserve"> من كون المؤسسات </w:t>
      </w:r>
      <w:r w:rsidR="00E72C1D">
        <w:rPr>
          <w:rFonts w:ascii="Traditional Arabic" w:eastAsia="Times New Roman" w:hAnsi="Traditional Arabic" w:cs="Traditional Arabic" w:hint="cs"/>
          <w:sz w:val="32"/>
          <w:szCs w:val="32"/>
          <w:rtl/>
        </w:rPr>
        <w:t>المخ</w:t>
      </w:r>
      <w:r w:rsidR="00E72C1D" w:rsidRPr="00966167">
        <w:rPr>
          <w:rFonts w:ascii="Traditional Arabic" w:eastAsia="Times New Roman" w:hAnsi="Traditional Arabic" w:cs="Traditional Arabic" w:hint="cs"/>
          <w:sz w:val="32"/>
          <w:szCs w:val="32"/>
          <w:rtl/>
        </w:rPr>
        <w:t>ص</w:t>
      </w:r>
      <w:r w:rsidR="00E72C1D">
        <w:rPr>
          <w:rFonts w:ascii="Traditional Arabic" w:eastAsia="Times New Roman" w:hAnsi="Traditional Arabic" w:cs="Traditional Arabic" w:hint="cs"/>
          <w:sz w:val="32"/>
          <w:szCs w:val="32"/>
          <w:rtl/>
        </w:rPr>
        <w:t>ص</w:t>
      </w:r>
      <w:r w:rsidR="00E72C1D" w:rsidRPr="00966167">
        <w:rPr>
          <w:rFonts w:ascii="Traditional Arabic" w:eastAsia="Times New Roman" w:hAnsi="Traditional Arabic" w:cs="Traditional Arabic" w:hint="cs"/>
          <w:sz w:val="32"/>
          <w:szCs w:val="32"/>
          <w:rtl/>
        </w:rPr>
        <w:t>ة</w:t>
      </w:r>
      <w:r w:rsidRPr="00966167">
        <w:rPr>
          <w:rFonts w:ascii="Traditional Arabic" w:eastAsia="Times New Roman" w:hAnsi="Traditional Arabic" w:cs="Traditional Arabic"/>
          <w:sz w:val="32"/>
          <w:szCs w:val="32"/>
          <w:rtl/>
        </w:rPr>
        <w:t xml:space="preserve"> هي ملك عام لجميع الأجيال ي</w:t>
      </w:r>
      <w:r w:rsidR="00FC050A">
        <w:rPr>
          <w:rFonts w:ascii="Traditional Arabic" w:eastAsia="Times New Roman" w:hAnsi="Traditional Arabic" w:cs="Traditional Arabic"/>
          <w:sz w:val="32"/>
          <w:szCs w:val="32"/>
          <w:rtl/>
        </w:rPr>
        <w:t>تم تحويل كل أو جزء من عوائد الخ</w:t>
      </w:r>
      <w:r w:rsidRPr="00966167">
        <w:rPr>
          <w:rFonts w:ascii="Traditional Arabic" w:eastAsia="Times New Roman" w:hAnsi="Traditional Arabic" w:cs="Traditional Arabic"/>
          <w:sz w:val="32"/>
          <w:szCs w:val="32"/>
          <w:rtl/>
        </w:rPr>
        <w:t>ص</w:t>
      </w:r>
      <w:r w:rsidR="00FC050A">
        <w:rPr>
          <w:rFonts w:ascii="Traditional Arabic" w:eastAsia="Times New Roman" w:hAnsi="Traditional Arabic" w:cs="Traditional Arabic" w:hint="cs"/>
          <w:sz w:val="32"/>
          <w:szCs w:val="32"/>
          <w:rtl/>
        </w:rPr>
        <w:t>خ</w:t>
      </w:r>
      <w:r w:rsidRPr="00966167">
        <w:rPr>
          <w:rFonts w:ascii="Traditional Arabic" w:eastAsia="Times New Roman" w:hAnsi="Traditional Arabic" w:cs="Traditional Arabic"/>
          <w:sz w:val="32"/>
          <w:szCs w:val="32"/>
          <w:rtl/>
        </w:rPr>
        <w:t>صة إلى صناديق سيادية</w:t>
      </w:r>
      <w:r w:rsidRPr="00966167">
        <w:rPr>
          <w:rFonts w:ascii="Traditional Arabic" w:eastAsia="Times New Roman" w:hAnsi="Traditional Arabic" w:cs="Traditional Arabic"/>
          <w:sz w:val="32"/>
          <w:szCs w:val="32"/>
        </w:rPr>
        <w:t>.</w:t>
      </w:r>
    </w:p>
    <w:p w:rsidR="00B52C5C" w:rsidRPr="00FC050A" w:rsidRDefault="00B52C5C" w:rsidP="00FC050A">
      <w:pPr>
        <w:pStyle w:val="a3"/>
        <w:numPr>
          <w:ilvl w:val="0"/>
          <w:numId w:val="2"/>
        </w:numPr>
        <w:jc w:val="both"/>
        <w:rPr>
          <w:rFonts w:ascii="Traditional Arabic" w:hAnsi="Traditional Arabic" w:cs="Traditional Arabic"/>
          <w:rtl/>
        </w:rPr>
      </w:pPr>
      <w:r w:rsidRPr="00FC050A">
        <w:rPr>
          <w:rFonts w:ascii="Traditional Arabic" w:hAnsi="Traditional Arabic" w:cs="Traditional Arabic" w:hint="cs"/>
          <w:b/>
          <w:bCs/>
          <w:sz w:val="32"/>
          <w:szCs w:val="32"/>
          <w:rtl/>
        </w:rPr>
        <w:t>الصناديق الممولة بفائض الميزانية</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تلجأ بعض الحكومات مباشرة لما تحقق من فائضا</w:t>
      </w:r>
      <w:r w:rsidR="00FC050A">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في الميزانية العامة للدولة إلى تحويل هذا الفائض لاستثماره في الأصول المالية قصد تحقيق عوائد من جهة، ولتوجيه المعطيات الاقتصادية من جهة ثانية. ولما يلاحظ توالى تحقيق هذه الفوائض وارتفاع مستواها يتم اللجوء إلى تكوين صناديق سيادية قصد استثمارها وتنميتها بشكل أفضل</w:t>
      </w:r>
      <w:r w:rsidRPr="00966167">
        <w:rPr>
          <w:rFonts w:ascii="Traditional Arabic" w:eastAsia="Times New Roman" w:hAnsi="Traditional Arabic" w:cs="Traditional Arabic"/>
          <w:sz w:val="32"/>
          <w:szCs w:val="32"/>
        </w:rPr>
        <w:t>.</w:t>
      </w:r>
    </w:p>
    <w:p w:rsidR="00B52C5C" w:rsidRPr="00966167" w:rsidRDefault="00B52C5C" w:rsidP="00FC050A">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lastRenderedPageBreak/>
        <w:t xml:space="preserve">تمثل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الممولة بعوائد المواد الأولية </w:t>
      </w:r>
      <w:r w:rsidRPr="005202E9">
        <w:rPr>
          <w:rFonts w:ascii="Traditional Arabic" w:eastAsia="Times New Roman" w:hAnsi="Traditional Arabic" w:cs="Traditional Arabic"/>
          <w:sz w:val="24"/>
          <w:szCs w:val="24"/>
          <w:rtl/>
        </w:rPr>
        <w:t>2/3</w:t>
      </w:r>
      <w:r w:rsidRPr="00966167">
        <w:rPr>
          <w:rFonts w:ascii="Traditional Arabic" w:eastAsia="Times New Roman" w:hAnsi="Traditional Arabic" w:cs="Traditional Arabic"/>
          <w:sz w:val="32"/>
          <w:szCs w:val="32"/>
          <w:rtl/>
        </w:rPr>
        <w:t xml:space="preserve">  من أصول هذه الصناديق. فهيئة استثمار أبو ظبي تدير </w:t>
      </w:r>
      <w:r w:rsidRPr="005202E9">
        <w:rPr>
          <w:rFonts w:ascii="Traditional Arabic" w:eastAsia="Times New Roman" w:hAnsi="Traditional Arabic" w:cs="Traditional Arabic"/>
          <w:sz w:val="24"/>
          <w:szCs w:val="24"/>
          <w:rtl/>
        </w:rPr>
        <w:t>875</w:t>
      </w:r>
      <w:r w:rsidRPr="00966167">
        <w:rPr>
          <w:rFonts w:ascii="Traditional Arabic" w:eastAsia="Times New Roman" w:hAnsi="Traditional Arabic" w:cs="Traditional Arabic"/>
          <w:sz w:val="32"/>
          <w:szCs w:val="32"/>
          <w:rtl/>
        </w:rPr>
        <w:t xml:space="preserve"> مليار دولار، وتمثل لوحدها </w:t>
      </w:r>
      <w:r w:rsidRPr="005202E9">
        <w:rPr>
          <w:rFonts w:ascii="Traditional Arabic" w:eastAsia="Times New Roman" w:hAnsi="Traditional Arabic" w:cs="Traditional Arabic"/>
          <w:sz w:val="24"/>
          <w:szCs w:val="24"/>
          <w:rtl/>
        </w:rPr>
        <w:t>25%</w:t>
      </w:r>
      <w:r w:rsidRPr="00966167">
        <w:rPr>
          <w:rFonts w:ascii="Traditional Arabic" w:eastAsia="Times New Roman" w:hAnsi="Traditional Arabic" w:cs="Traditional Arabic"/>
          <w:sz w:val="32"/>
          <w:szCs w:val="32"/>
          <w:rtl/>
        </w:rPr>
        <w:t xml:space="preserve"> من الأصول التي تديرها هذه الصناديق. وبهذا تعتبر عوائد المواد الأولية </w:t>
      </w:r>
      <w:r w:rsidR="00FC050A">
        <w:rPr>
          <w:rFonts w:ascii="Traditional Arabic" w:eastAsia="Times New Roman" w:hAnsi="Traditional Arabic" w:cs="Traditional Arabic" w:hint="cs"/>
          <w:sz w:val="32"/>
          <w:szCs w:val="32"/>
          <w:rtl/>
        </w:rPr>
        <w:t>(</w:t>
      </w:r>
      <w:r w:rsidR="00FC050A">
        <w:rPr>
          <w:rFonts w:ascii="Traditional Arabic" w:eastAsia="Times New Roman" w:hAnsi="Traditional Arabic" w:cs="Traditional Arabic"/>
          <w:sz w:val="32"/>
          <w:szCs w:val="32"/>
          <w:rtl/>
        </w:rPr>
        <w:t>خاصة البترول والغاز</w:t>
      </w:r>
      <w:r w:rsidR="00FC050A">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المصدر الأساسي لأصول أكبر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العالم مما يجعل التساؤل عن مدى قدرتها على الحصول على الأموال مستقبلا</w:t>
      </w:r>
      <w:r w:rsidR="00FC050A">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في ظل اتجاه أسعار النفط نحو التدهور بفعل الأزمة المالية العالمية الراهنة</w:t>
      </w:r>
      <w:r w:rsidRPr="00966167">
        <w:rPr>
          <w:rFonts w:ascii="Traditional Arabic" w:eastAsia="Times New Roman" w:hAnsi="Traditional Arabic" w:cs="Traditional Arabic"/>
          <w:sz w:val="32"/>
          <w:szCs w:val="32"/>
        </w:rPr>
        <w:t>.</w:t>
      </w:r>
    </w:p>
    <w:p w:rsidR="00B52C5C" w:rsidRPr="00966167" w:rsidRDefault="0076307D" w:rsidP="0076307D">
      <w:pPr>
        <w:jc w:val="both"/>
        <w:rPr>
          <w:rFonts w:ascii="Traditional Arabic" w:eastAsia="Times New Roman" w:hAnsi="Traditional Arabic" w:cs="Traditional Arabic"/>
          <w:rtl/>
        </w:rPr>
      </w:pPr>
      <w:r>
        <w:rPr>
          <w:rFonts w:ascii="Traditional Arabic" w:eastAsia="Times New Roman" w:hAnsi="Traditional Arabic" w:cs="Traditional Arabic" w:hint="cs"/>
          <w:b/>
          <w:bCs/>
          <w:sz w:val="32"/>
          <w:szCs w:val="32"/>
          <w:rtl/>
        </w:rPr>
        <w:t>الفرق بين</w:t>
      </w:r>
      <w:r w:rsidR="00B52C5C" w:rsidRPr="00966167">
        <w:rPr>
          <w:rFonts w:ascii="Traditional Arabic" w:eastAsia="Times New Roman" w:hAnsi="Traditional Arabic" w:cs="Traditional Arabic"/>
          <w:b/>
          <w:bCs/>
          <w:sz w:val="32"/>
          <w:szCs w:val="32"/>
          <w:rtl/>
        </w:rPr>
        <w:t xml:space="preserve"> الصناديق </w:t>
      </w:r>
      <w:r w:rsidR="00485F25">
        <w:rPr>
          <w:rFonts w:ascii="Traditional Arabic" w:eastAsia="Times New Roman" w:hAnsi="Traditional Arabic" w:cs="Traditional Arabic"/>
          <w:b/>
          <w:bCs/>
          <w:sz w:val="32"/>
          <w:szCs w:val="32"/>
          <w:rtl/>
        </w:rPr>
        <w:t>السياديَّة</w:t>
      </w:r>
      <w:r w:rsidR="00B52C5C" w:rsidRPr="00966167">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و</w:t>
      </w:r>
      <w:r w:rsidR="00B52C5C" w:rsidRPr="00966167">
        <w:rPr>
          <w:rFonts w:ascii="Traditional Arabic" w:eastAsia="Times New Roman" w:hAnsi="Traditional Arabic" w:cs="Traditional Arabic"/>
          <w:b/>
          <w:bCs/>
          <w:sz w:val="32"/>
          <w:szCs w:val="32"/>
          <w:rtl/>
        </w:rPr>
        <w:t>غيرها من الهيئات المالية الأخرى</w:t>
      </w:r>
    </w:p>
    <w:p w:rsidR="00B52C5C" w:rsidRPr="00966167" w:rsidRDefault="00B52C5C" w:rsidP="00FC050A">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w:t>
      </w:r>
      <w:r w:rsidRPr="00966167">
        <w:rPr>
          <w:rFonts w:ascii="Traditional Arabic" w:eastAsia="Times New Roman" w:hAnsi="Traditional Arabic" w:cs="Traditional Arabic"/>
          <w:sz w:val="32"/>
          <w:szCs w:val="32"/>
          <w:rtl/>
        </w:rPr>
        <w:t xml:space="preserve">تتميز عن </w:t>
      </w:r>
      <w:r w:rsidRPr="00E72C1D">
        <w:rPr>
          <w:rFonts w:ascii="Traditional Arabic" w:eastAsia="Times New Roman" w:hAnsi="Traditional Arabic" w:cs="Traditional Arabic"/>
          <w:sz w:val="32"/>
          <w:szCs w:val="32"/>
          <w:u w:val="single"/>
          <w:rtl/>
        </w:rPr>
        <w:t>البنوك المركزية</w:t>
      </w:r>
      <w:r w:rsidRPr="00966167">
        <w:rPr>
          <w:rFonts w:ascii="Traditional Arabic" w:eastAsia="Times New Roman" w:hAnsi="Traditional Arabic" w:cs="Traditional Arabic"/>
          <w:sz w:val="32"/>
          <w:szCs w:val="32"/>
          <w:rtl/>
        </w:rPr>
        <w:t xml:space="preserve"> من حيث أهدافها، فهي تسعى إلى الاستثمار وليس إلى إدارة السياسة النقدية وسياسة والصرف، ويغلب على محفظة أصولها الاستثمار في الأسهم في حين أن البنوك المركزية، ولكونها ملزمة بالاحتفاظ بمستوى معين من السيولة لمواجهة التغيرات في أسعار الصرف، تستثمر أساسا</w:t>
      </w:r>
      <w:r w:rsidR="00FC050A">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في السندات. وهذا بالرغم من أن بعض الدول مثل الصين والنرويج توكل مهمة إدارة صناديقها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إلى أقسام في البنوك المركزية لصالح وزارة المالية</w:t>
      </w:r>
      <w:r w:rsidRPr="00966167">
        <w:rPr>
          <w:rFonts w:ascii="Traditional Arabic" w:eastAsia="Times New Roman" w:hAnsi="Traditional Arabic" w:cs="Traditional Arabic"/>
          <w:sz w:val="32"/>
          <w:szCs w:val="32"/>
        </w:rPr>
        <w:t>.</w:t>
      </w:r>
    </w:p>
    <w:p w:rsidR="00E72C1D" w:rsidRDefault="00B52C5C" w:rsidP="00E72C1D">
      <w:pPr>
        <w:tabs>
          <w:tab w:val="right" w:pos="0"/>
        </w:tabs>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تتميز عن </w:t>
      </w:r>
      <w:r w:rsidRPr="00E72C1D">
        <w:rPr>
          <w:rFonts w:ascii="Traditional Arabic" w:eastAsia="Times New Roman" w:hAnsi="Traditional Arabic" w:cs="Traditional Arabic"/>
          <w:sz w:val="32"/>
          <w:szCs w:val="32"/>
          <w:u w:val="single"/>
          <w:rtl/>
        </w:rPr>
        <w:t>صناديق المعاشات العمومية</w:t>
      </w:r>
      <w:r w:rsidRPr="00966167">
        <w:rPr>
          <w:rFonts w:ascii="Traditional Arabic" w:eastAsia="Times New Roman" w:hAnsi="Traditional Arabic" w:cs="Traditional Arabic"/>
          <w:sz w:val="32"/>
          <w:szCs w:val="32"/>
          <w:rtl/>
        </w:rPr>
        <w:t xml:space="preserve"> لكون موارد هذه الأخيرة تأتي أساسا</w:t>
      </w:r>
      <w:r w:rsidR="00E72C1D">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من الاشتراكات من جهة، وهي تهدف إلى تمويل معاشات الأجيال القادمة من جهة ثانية</w:t>
      </w:r>
      <w:r w:rsidRPr="00966167">
        <w:rPr>
          <w:rFonts w:ascii="Traditional Arabic" w:eastAsia="Times New Roman" w:hAnsi="Traditional Arabic" w:cs="Traditional Arabic"/>
          <w:sz w:val="32"/>
          <w:szCs w:val="32"/>
        </w:rPr>
        <w:t>.</w:t>
      </w:r>
    </w:p>
    <w:p w:rsidR="00B52C5C" w:rsidRDefault="00B52C5C" w:rsidP="00E72C1D">
      <w:pPr>
        <w:tabs>
          <w:tab w:val="right" w:pos="0"/>
        </w:tabs>
        <w:jc w:val="both"/>
        <w:rPr>
          <w:rFonts w:ascii="Traditional Arabic" w:eastAsia="Times New Roman" w:hAnsi="Traditional Arabic" w:cs="Traditional Arabic"/>
          <w:sz w:val="32"/>
          <w:szCs w:val="32"/>
          <w:rtl/>
        </w:rPr>
      </w:pPr>
      <w:r w:rsidRPr="00966167">
        <w:rPr>
          <w:rFonts w:ascii="Traditional Arabic" w:eastAsia="Times New Roman" w:hAnsi="Traditional Arabic" w:cs="Traditional Arabic"/>
          <w:sz w:val="32"/>
          <w:szCs w:val="32"/>
        </w:rPr>
        <w:t> </w:t>
      </w:r>
      <w:r w:rsidRPr="00966167">
        <w:rPr>
          <w:rFonts w:ascii="Traditional Arabic" w:eastAsia="Times New Roman" w:hAnsi="Traditional Arabic" w:cs="Traditional Arabic"/>
          <w:sz w:val="32"/>
          <w:szCs w:val="32"/>
          <w:rtl/>
        </w:rPr>
        <w:t xml:space="preserve">تتميز عن </w:t>
      </w:r>
      <w:r w:rsidR="00E72C1D">
        <w:rPr>
          <w:rFonts w:ascii="Traditional Arabic" w:eastAsia="Times New Roman" w:hAnsi="Traditional Arabic" w:cs="Traditional Arabic"/>
          <w:sz w:val="32"/>
          <w:szCs w:val="32"/>
          <w:u w:val="single"/>
          <w:rtl/>
        </w:rPr>
        <w:t>المؤسسات ال</w:t>
      </w:r>
      <w:r w:rsidR="00E72C1D">
        <w:rPr>
          <w:rFonts w:ascii="Traditional Arabic" w:eastAsia="Times New Roman" w:hAnsi="Traditional Arabic" w:cs="Traditional Arabic" w:hint="cs"/>
          <w:sz w:val="32"/>
          <w:szCs w:val="32"/>
          <w:u w:val="single"/>
          <w:rtl/>
        </w:rPr>
        <w:t>حك</w:t>
      </w:r>
      <w:r w:rsidRPr="00E72C1D">
        <w:rPr>
          <w:rFonts w:ascii="Traditional Arabic" w:eastAsia="Times New Roman" w:hAnsi="Traditional Arabic" w:cs="Traditional Arabic"/>
          <w:sz w:val="32"/>
          <w:szCs w:val="32"/>
          <w:u w:val="single"/>
          <w:rtl/>
        </w:rPr>
        <w:t>ومية</w:t>
      </w:r>
      <w:r w:rsidRPr="00966167">
        <w:rPr>
          <w:rFonts w:ascii="Traditional Arabic" w:eastAsia="Times New Roman" w:hAnsi="Traditional Arabic" w:cs="Traditional Arabic"/>
          <w:sz w:val="32"/>
          <w:szCs w:val="32"/>
          <w:rtl/>
        </w:rPr>
        <w:t xml:space="preserve"> حيث تأخذ المؤسسات العمومية شكل شركات تجارية وتخضع بموجب ذلك للقانون التجاري. والأمر ليس كذلك بالنسبة للصناديق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التي هي عبارة عن صناديق استثمار. ووظيفة الشركات الأساسية هي إنتاج السلع والخدمات في حين أن الوظيفة الأساسية للصناديق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هي استثمار الأصول المالية</w:t>
      </w:r>
      <w:r w:rsidRPr="00966167">
        <w:rPr>
          <w:rFonts w:ascii="Traditional Arabic" w:eastAsia="Times New Roman" w:hAnsi="Traditional Arabic" w:cs="Traditional Arabic"/>
          <w:sz w:val="32"/>
          <w:szCs w:val="32"/>
        </w:rPr>
        <w:t>.</w:t>
      </w:r>
    </w:p>
    <w:p w:rsidR="0057461C" w:rsidRPr="008507D2" w:rsidRDefault="005B2D79" w:rsidP="008507D2">
      <w:pPr>
        <w:jc w:val="both"/>
        <w:rPr>
          <w:rFonts w:ascii="Traditional Arabic" w:eastAsia="Times New Roman" w:hAnsi="Traditional Arabic" w:cs="Traditional Arabic"/>
          <w:sz w:val="32"/>
          <w:szCs w:val="32"/>
        </w:rPr>
      </w:pPr>
      <w:r>
        <w:rPr>
          <w:rFonts w:ascii="Traditional Arabic" w:eastAsia="Times New Roman" w:hAnsi="Traditional Arabic" w:cs="Traditional Arabic"/>
          <w:b/>
          <w:bCs/>
          <w:sz w:val="32"/>
          <w:szCs w:val="32"/>
          <w:rtl/>
        </w:rPr>
        <w:t>أهم الصناديق السياديَّة في العالم</w:t>
      </w:r>
      <w:r>
        <w:rPr>
          <w:rFonts w:ascii="Traditional Arabic" w:eastAsia="Times New Roman" w:hAnsi="Traditional Arabic" w:cs="Traditional Arabic"/>
          <w:sz w:val="32"/>
          <w:szCs w:val="32"/>
        </w:rPr>
        <w:t xml:space="preserve"> </w:t>
      </w:r>
    </w:p>
    <w:p w:rsidR="005B2D79" w:rsidRDefault="005B2D79" w:rsidP="005B2D79">
      <w:pPr>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 xml:space="preserve">والصناديق الثمانية الكبرى التي تزيد موجوداتها على </w:t>
      </w:r>
      <w:r w:rsidRPr="005202E9">
        <w:rPr>
          <w:rFonts w:ascii="Traditional Arabic" w:eastAsia="Times New Roman" w:hAnsi="Traditional Arabic" w:cs="Traditional Arabic"/>
          <w:sz w:val="24"/>
          <w:szCs w:val="24"/>
          <w:rtl/>
        </w:rPr>
        <w:t>150</w:t>
      </w:r>
      <w:r>
        <w:rPr>
          <w:rFonts w:ascii="Traditional Arabic" w:eastAsia="Times New Roman" w:hAnsi="Traditional Arabic" w:cs="Traditional Arabic"/>
          <w:sz w:val="32"/>
          <w:szCs w:val="32"/>
          <w:rtl/>
        </w:rPr>
        <w:t xml:space="preserve"> مليار دولار تملكها سبع دول هي الإمارات والصين (صندوقان) وسنغافورة والنرويج والسعودية والكويت وروسيا</w:t>
      </w:r>
      <w:r>
        <w:rPr>
          <w:rFonts w:ascii="Traditional Arabic" w:eastAsia="Times New Roman" w:hAnsi="Traditional Arabic" w:cs="Traditional Arabic"/>
          <w:sz w:val="32"/>
          <w:szCs w:val="32"/>
        </w:rPr>
        <w:t>.</w:t>
      </w:r>
    </w:p>
    <w:p w:rsidR="005B2D79" w:rsidRPr="008B5547" w:rsidRDefault="005B2D79" w:rsidP="008B5547">
      <w:pPr>
        <w:jc w:val="both"/>
        <w:rPr>
          <w:rFonts w:ascii="Traditional Arabic" w:eastAsia="Times New Roman" w:hAnsi="Traditional Arabic" w:cs="Traditional Arabic"/>
        </w:rPr>
      </w:pPr>
      <w:r>
        <w:rPr>
          <w:rFonts w:ascii="Traditional Arabic" w:eastAsia="Times New Roman" w:hAnsi="Traditional Arabic" w:cs="Traditional Arabic"/>
          <w:sz w:val="32"/>
          <w:szCs w:val="32"/>
          <w:rtl/>
        </w:rPr>
        <w:t xml:space="preserve">إن موجودات الصناديق العربية تبلغ </w:t>
      </w:r>
      <w:r w:rsidRPr="005202E9">
        <w:rPr>
          <w:rFonts w:ascii="Traditional Arabic" w:eastAsia="Times New Roman" w:hAnsi="Traditional Arabic" w:cs="Traditional Arabic"/>
          <w:sz w:val="24"/>
          <w:szCs w:val="24"/>
          <w:rtl/>
        </w:rPr>
        <w:t>46%</w:t>
      </w:r>
      <w:r>
        <w:rPr>
          <w:rFonts w:ascii="Traditional Arabic" w:eastAsia="Times New Roman" w:hAnsi="Traditional Arabic" w:cs="Traditional Arabic"/>
          <w:sz w:val="32"/>
          <w:szCs w:val="32"/>
          <w:rtl/>
        </w:rPr>
        <w:t xml:space="preserve"> من موجودات الصناديق في العالم. ويعد مركز أبو ظبي للاستثمار أكبر صندوق في العالم إذ تتراوح موجوداته حسب التقديرات بين </w:t>
      </w:r>
      <w:r w:rsidRPr="005202E9">
        <w:rPr>
          <w:rFonts w:ascii="Traditional Arabic" w:eastAsia="Times New Roman" w:hAnsi="Traditional Arabic" w:cs="Traditional Arabic"/>
          <w:sz w:val="24"/>
          <w:szCs w:val="24"/>
          <w:rtl/>
        </w:rPr>
        <w:t>650</w:t>
      </w:r>
      <w:r>
        <w:rPr>
          <w:rFonts w:ascii="Traditional Arabic" w:eastAsia="Times New Roman" w:hAnsi="Traditional Arabic" w:cs="Traditional Arabic"/>
          <w:sz w:val="32"/>
          <w:szCs w:val="32"/>
          <w:rtl/>
        </w:rPr>
        <w:t xml:space="preserve"> </w:t>
      </w:r>
      <w:r w:rsidRPr="005202E9">
        <w:rPr>
          <w:rFonts w:ascii="Traditional Arabic" w:eastAsia="Times New Roman" w:hAnsi="Traditional Arabic" w:cs="Traditional Arabic"/>
          <w:sz w:val="24"/>
          <w:szCs w:val="24"/>
          <w:rtl/>
        </w:rPr>
        <w:t>و1300</w:t>
      </w:r>
      <w:r>
        <w:rPr>
          <w:rFonts w:ascii="Traditional Arabic" w:eastAsia="Times New Roman" w:hAnsi="Traditional Arabic" w:cs="Traditional Arabic"/>
          <w:sz w:val="32"/>
          <w:szCs w:val="32"/>
          <w:rtl/>
        </w:rPr>
        <w:t xml:space="preserve"> مليار دولار</w:t>
      </w:r>
      <w:r>
        <w:rPr>
          <w:rFonts w:ascii="Traditional Arabic" w:eastAsia="Times New Roman" w:hAnsi="Traditional Arabic" w:cs="Traditional Arabic"/>
          <w:sz w:val="32"/>
          <w:szCs w:val="32"/>
        </w:rPr>
        <w:t>.</w:t>
      </w:r>
      <w:r>
        <w:rPr>
          <w:rFonts w:ascii="Traditional Arabic" w:eastAsia="Times New Roman" w:hAnsi="Traditional Arabic" w:cs="Traditional Arabic"/>
          <w:sz w:val="32"/>
          <w:szCs w:val="32"/>
          <w:rtl/>
        </w:rPr>
        <w:t xml:space="preserve">ويعد صندوق الأجيال القادمة الكويتي أقدم صندوق سيادي في العالم، الحكمة منه تخصيص نسبة سنوية من إيرادات النفط الكويتي قدرها </w:t>
      </w:r>
      <w:r w:rsidRPr="005202E9">
        <w:rPr>
          <w:rFonts w:ascii="Traditional Arabic" w:eastAsia="Times New Roman" w:hAnsi="Traditional Arabic" w:cs="Traditional Arabic"/>
          <w:sz w:val="24"/>
          <w:szCs w:val="24"/>
          <w:rtl/>
        </w:rPr>
        <w:t>10%</w:t>
      </w:r>
      <w:r>
        <w:rPr>
          <w:rFonts w:ascii="Traditional Arabic" w:eastAsia="Times New Roman" w:hAnsi="Traditional Arabic" w:cs="Traditional Arabic"/>
          <w:sz w:val="32"/>
          <w:szCs w:val="32"/>
          <w:rtl/>
        </w:rPr>
        <w:t xml:space="preserve"> وتنميتها باستثمارها في أنشطة خارج الدولة</w:t>
      </w:r>
      <w:r>
        <w:rPr>
          <w:rFonts w:ascii="Traditional Arabic" w:eastAsia="Times New Roman" w:hAnsi="Traditional Arabic" w:cs="Traditional Arabic"/>
          <w:sz w:val="32"/>
          <w:szCs w:val="32"/>
        </w:rPr>
        <w:t>.</w:t>
      </w:r>
    </w:p>
    <w:p w:rsidR="008507D2" w:rsidRDefault="008507D2" w:rsidP="008507D2">
      <w:pPr>
        <w:jc w:val="both"/>
        <w:rPr>
          <w:rFonts w:ascii="Traditional Arabic" w:eastAsia="Times New Roman" w:hAnsi="Traditional Arabic" w:cs="Traditional Arabic"/>
          <w:sz w:val="24"/>
          <w:szCs w:val="24"/>
          <w:rtl/>
          <w:lang w:bidi="ar-SY"/>
        </w:rPr>
      </w:pPr>
      <w:r>
        <w:rPr>
          <w:rFonts w:ascii="Traditional Arabic" w:eastAsia="Times New Roman" w:hAnsi="Traditional Arabic" w:cs="Traditional Arabic" w:hint="cs"/>
          <w:sz w:val="32"/>
          <w:szCs w:val="32"/>
          <w:rtl/>
          <w:lang w:bidi="ar-SY"/>
        </w:rPr>
        <w:lastRenderedPageBreak/>
        <w:t xml:space="preserve">والجدول التالي يبين أكبر الصناديق السيادية في العالم حتى آب </w:t>
      </w:r>
      <w:r w:rsidRPr="008507D2">
        <w:rPr>
          <w:rFonts w:ascii="Traditional Arabic" w:eastAsia="Times New Roman" w:hAnsi="Traditional Arabic" w:cs="Traditional Arabic" w:hint="cs"/>
          <w:sz w:val="24"/>
          <w:szCs w:val="24"/>
          <w:rtl/>
          <w:lang w:bidi="ar-SY"/>
        </w:rPr>
        <w:t>2007</w:t>
      </w:r>
      <w:r>
        <w:rPr>
          <w:rFonts w:ascii="Traditional Arabic" w:eastAsia="Times New Roman" w:hAnsi="Traditional Arabic" w:cs="Traditional Arabic" w:hint="cs"/>
          <w:sz w:val="24"/>
          <w:szCs w:val="24"/>
          <w:rtl/>
          <w:lang w:bidi="ar-SY"/>
        </w:rPr>
        <w:t xml:space="preserve"> :</w:t>
      </w:r>
    </w:p>
    <w:tbl>
      <w:tblPr>
        <w:bidiVisual/>
        <w:tblW w:w="8747" w:type="dxa"/>
        <w:tblBorders>
          <w:top w:val="nil"/>
          <w:left w:val="nil"/>
          <w:bottom w:val="nil"/>
          <w:right w:val="nil"/>
        </w:tblBorders>
        <w:tblLayout w:type="fixed"/>
        <w:tblLook w:val="0000"/>
      </w:tblPr>
      <w:tblGrid>
        <w:gridCol w:w="2186"/>
        <w:gridCol w:w="2187"/>
        <w:gridCol w:w="2186"/>
        <w:gridCol w:w="2188"/>
      </w:tblGrid>
      <w:tr w:rsidR="008507D2" w:rsidTr="008507D2">
        <w:trPr>
          <w:trHeight w:val="123"/>
        </w:trPr>
        <w:tc>
          <w:tcPr>
            <w:tcW w:w="8747" w:type="dxa"/>
            <w:gridSpan w:val="4"/>
          </w:tcPr>
          <w:p w:rsidR="008507D2" w:rsidRDefault="008507D2" w:rsidP="008507D2">
            <w:pPr>
              <w:pStyle w:val="Pa0"/>
              <w:jc w:val="center"/>
              <w:rPr>
                <w:rFonts w:cs="Myriad Pro"/>
                <w:color w:val="000000"/>
                <w:sz w:val="20"/>
                <w:szCs w:val="20"/>
              </w:rPr>
            </w:pPr>
            <w:r w:rsidRPr="000C1E5C">
              <w:rPr>
                <w:rStyle w:val="a8"/>
                <w:rFonts w:cs="Myriad Pro"/>
                <w:b/>
                <w:bCs/>
                <w:color w:val="000000"/>
                <w:sz w:val="32"/>
                <w:szCs w:val="32"/>
              </w:rPr>
              <w:footnoteReference w:id="4"/>
            </w:r>
            <w:r>
              <w:rPr>
                <w:rStyle w:val="A00"/>
              </w:rPr>
              <w:t>Large sovereign wealth funds</w:t>
            </w:r>
          </w:p>
        </w:tc>
      </w:tr>
      <w:tr w:rsidR="008507D2" w:rsidTr="008507D2">
        <w:trPr>
          <w:trHeight w:val="453"/>
        </w:trPr>
        <w:tc>
          <w:tcPr>
            <w:tcW w:w="8747" w:type="dxa"/>
            <w:gridSpan w:val="4"/>
            <w:vMerge w:val="restart"/>
          </w:tcPr>
          <w:p w:rsidR="008507D2" w:rsidRDefault="008507D2" w:rsidP="008507D2">
            <w:pPr>
              <w:pStyle w:val="Pa3"/>
              <w:tabs>
                <w:tab w:val="left" w:pos="2764"/>
                <w:tab w:val="left" w:pos="5197"/>
                <w:tab w:val="left" w:pos="7349"/>
              </w:tabs>
              <w:rPr>
                <w:rFonts w:cs="Myriad Pro"/>
                <w:color w:val="000000"/>
                <w:sz w:val="10"/>
                <w:szCs w:val="10"/>
              </w:rPr>
            </w:pPr>
            <w:r>
              <w:rPr>
                <w:rStyle w:val="A10"/>
                <w:b/>
                <w:bCs/>
              </w:rPr>
              <w:t>Current size</w:t>
            </w:r>
            <w:r>
              <w:rPr>
                <w:rStyle w:val="A80"/>
                <w:b/>
                <w:bCs/>
              </w:rPr>
              <w:t>a</w:t>
            </w:r>
            <w:r>
              <w:rPr>
                <w:rStyle w:val="A80"/>
                <w:b/>
                <w:bCs/>
              </w:rPr>
              <w:tab/>
            </w:r>
            <w:r>
              <w:rPr>
                <w:rStyle w:val="A80"/>
                <w:b/>
                <w:bCs/>
                <w:sz w:val="22"/>
                <w:szCs w:val="22"/>
              </w:rPr>
              <w:t>D</w:t>
            </w:r>
            <w:r w:rsidRPr="008507D2">
              <w:rPr>
                <w:rStyle w:val="A80"/>
                <w:b/>
                <w:bCs/>
                <w:sz w:val="22"/>
                <w:szCs w:val="22"/>
              </w:rPr>
              <w:t>ate established</w:t>
            </w:r>
            <w:r>
              <w:rPr>
                <w:rStyle w:val="A80"/>
                <w:b/>
                <w:bCs/>
              </w:rPr>
              <w:tab/>
            </w:r>
            <w:r w:rsidRPr="008507D2">
              <w:rPr>
                <w:rStyle w:val="A80"/>
                <w:b/>
                <w:bCs/>
                <w:sz w:val="20"/>
                <w:szCs w:val="20"/>
              </w:rPr>
              <w:t>Name</w:t>
            </w:r>
            <w:r>
              <w:rPr>
                <w:rStyle w:val="A80"/>
                <w:b/>
                <w:bCs/>
                <w:sz w:val="20"/>
                <w:szCs w:val="20"/>
              </w:rPr>
              <w:t xml:space="preserve">        </w:t>
            </w:r>
            <w:r>
              <w:rPr>
                <w:rStyle w:val="A80"/>
                <w:b/>
                <w:bCs/>
                <w:sz w:val="20"/>
                <w:szCs w:val="20"/>
              </w:rPr>
              <w:tab/>
              <w:t>Country</w:t>
            </w:r>
          </w:p>
          <w:p w:rsidR="008507D2" w:rsidRDefault="008507D2" w:rsidP="008507D2">
            <w:pPr>
              <w:pStyle w:val="Pa3"/>
              <w:tabs>
                <w:tab w:val="left" w:pos="5363"/>
              </w:tabs>
              <w:rPr>
                <w:rFonts w:cs="Myriad Pro"/>
                <w:color w:val="000000"/>
                <w:sz w:val="18"/>
                <w:szCs w:val="18"/>
              </w:rPr>
            </w:pPr>
            <w:r>
              <w:rPr>
                <w:rStyle w:val="A10"/>
              </w:rPr>
              <w:t>(billions of US dollars)</w:t>
            </w:r>
            <w:r>
              <w:rPr>
                <w:rStyle w:val="A10"/>
                <w:rFonts w:hint="cs"/>
                <w:rtl/>
              </w:rPr>
              <w:t xml:space="preserve">          </w:t>
            </w:r>
          </w:p>
        </w:tc>
      </w:tr>
      <w:tr w:rsidR="008507D2" w:rsidTr="008507D2">
        <w:trPr>
          <w:trHeight w:val="276"/>
        </w:trPr>
        <w:tc>
          <w:tcPr>
            <w:tcW w:w="8747" w:type="dxa"/>
            <w:gridSpan w:val="4"/>
            <w:vMerge/>
          </w:tcPr>
          <w:p w:rsidR="008507D2" w:rsidRDefault="008507D2">
            <w:pPr>
              <w:pStyle w:val="Default"/>
              <w:rPr>
                <w:rFonts w:cstheme="minorBidi"/>
                <w:color w:val="auto"/>
              </w:rPr>
            </w:pP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United Arab Emirates</w:t>
            </w:r>
          </w:p>
        </w:tc>
        <w:tc>
          <w:tcPr>
            <w:tcW w:w="2187" w:type="dxa"/>
          </w:tcPr>
          <w:p w:rsidR="008507D2" w:rsidRDefault="008507D2">
            <w:pPr>
              <w:pStyle w:val="Pa0"/>
              <w:rPr>
                <w:rFonts w:cs="Myriad Pro"/>
                <w:color w:val="000000"/>
                <w:sz w:val="18"/>
                <w:szCs w:val="18"/>
              </w:rPr>
            </w:pPr>
            <w:r>
              <w:rPr>
                <w:rStyle w:val="A10"/>
              </w:rPr>
              <w:t>Abu Dhabi Investment Authority</w:t>
            </w:r>
          </w:p>
        </w:tc>
        <w:tc>
          <w:tcPr>
            <w:tcW w:w="2186" w:type="dxa"/>
          </w:tcPr>
          <w:p w:rsidR="008507D2" w:rsidRDefault="008507D2">
            <w:pPr>
              <w:pStyle w:val="Pa3"/>
              <w:jc w:val="center"/>
              <w:rPr>
                <w:rFonts w:cs="Myriad Pro"/>
                <w:color w:val="000000"/>
                <w:sz w:val="18"/>
                <w:szCs w:val="18"/>
              </w:rPr>
            </w:pPr>
            <w:r>
              <w:rPr>
                <w:rStyle w:val="A10"/>
              </w:rPr>
              <w:t>1976</w:t>
            </w:r>
          </w:p>
        </w:tc>
        <w:tc>
          <w:tcPr>
            <w:tcW w:w="2188" w:type="dxa"/>
          </w:tcPr>
          <w:p w:rsidR="008507D2" w:rsidRDefault="008507D2">
            <w:pPr>
              <w:pStyle w:val="Pa12"/>
              <w:ind w:firstLine="360"/>
              <w:rPr>
                <w:rFonts w:cs="Myriad Pro"/>
                <w:color w:val="000000"/>
                <w:sz w:val="10"/>
                <w:szCs w:val="10"/>
              </w:rPr>
            </w:pPr>
            <w:r>
              <w:rPr>
                <w:rStyle w:val="A10"/>
              </w:rPr>
              <w:t>500 to 875</w:t>
            </w:r>
            <w:r>
              <w:rPr>
                <w:rStyle w:val="A80"/>
              </w:rPr>
              <w:t>e</w:t>
            </w:r>
            <w:r w:rsidR="00E05B13">
              <w:rPr>
                <w:rStyle w:val="A80"/>
              </w:rPr>
              <w:t xml:space="preserve"> </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Singapore</w:t>
            </w:r>
          </w:p>
        </w:tc>
        <w:tc>
          <w:tcPr>
            <w:tcW w:w="2187" w:type="dxa"/>
          </w:tcPr>
          <w:p w:rsidR="008507D2" w:rsidRDefault="008507D2">
            <w:pPr>
              <w:pStyle w:val="Pa0"/>
              <w:rPr>
                <w:rFonts w:cs="Myriad Pro"/>
                <w:color w:val="000000"/>
                <w:sz w:val="18"/>
                <w:szCs w:val="18"/>
              </w:rPr>
            </w:pPr>
            <w:r>
              <w:rPr>
                <w:rStyle w:val="A10"/>
              </w:rPr>
              <w:t>Government of Singapore Investment Corporation</w:t>
            </w:r>
          </w:p>
        </w:tc>
        <w:tc>
          <w:tcPr>
            <w:tcW w:w="2186" w:type="dxa"/>
          </w:tcPr>
          <w:p w:rsidR="008507D2" w:rsidRDefault="008507D2">
            <w:pPr>
              <w:pStyle w:val="Pa3"/>
              <w:jc w:val="center"/>
              <w:rPr>
                <w:rFonts w:cs="Myriad Pro"/>
                <w:color w:val="000000"/>
                <w:sz w:val="18"/>
                <w:szCs w:val="18"/>
              </w:rPr>
            </w:pPr>
            <w:r>
              <w:rPr>
                <w:rStyle w:val="A10"/>
              </w:rPr>
              <w:t xml:space="preserve">1981 </w:t>
            </w:r>
          </w:p>
        </w:tc>
        <w:tc>
          <w:tcPr>
            <w:tcW w:w="2188" w:type="dxa"/>
          </w:tcPr>
          <w:p w:rsidR="008507D2" w:rsidRDefault="008507D2">
            <w:pPr>
              <w:pStyle w:val="Pa0"/>
              <w:rPr>
                <w:rFonts w:cs="Myriad Pro"/>
                <w:color w:val="000000"/>
                <w:sz w:val="10"/>
                <w:szCs w:val="10"/>
              </w:rPr>
            </w:pPr>
            <w:r>
              <w:rPr>
                <w:rStyle w:val="A10"/>
              </w:rPr>
              <w:t>100 to 330</w:t>
            </w:r>
            <w:r>
              <w:rPr>
                <w:rStyle w:val="A80"/>
              </w:rPr>
              <w:t>er</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Norway</w:t>
            </w:r>
          </w:p>
        </w:tc>
        <w:tc>
          <w:tcPr>
            <w:tcW w:w="2187" w:type="dxa"/>
          </w:tcPr>
          <w:p w:rsidR="008507D2" w:rsidRDefault="008507D2">
            <w:pPr>
              <w:pStyle w:val="Pa0"/>
              <w:rPr>
                <w:rFonts w:cs="Myriad Pro"/>
                <w:color w:val="000000"/>
                <w:sz w:val="18"/>
                <w:szCs w:val="18"/>
              </w:rPr>
            </w:pPr>
            <w:r>
              <w:rPr>
                <w:rStyle w:val="A10"/>
              </w:rPr>
              <w:t>Government Pension Fund–Global</w:t>
            </w:r>
          </w:p>
        </w:tc>
        <w:tc>
          <w:tcPr>
            <w:tcW w:w="2186" w:type="dxa"/>
          </w:tcPr>
          <w:p w:rsidR="008507D2" w:rsidRDefault="008507D2">
            <w:pPr>
              <w:pStyle w:val="Pa3"/>
              <w:jc w:val="center"/>
              <w:rPr>
                <w:rFonts w:cs="Myriad Pro"/>
                <w:color w:val="000000"/>
                <w:sz w:val="18"/>
                <w:szCs w:val="18"/>
              </w:rPr>
            </w:pPr>
            <w:r>
              <w:rPr>
                <w:rStyle w:val="A10"/>
              </w:rPr>
              <w:t>1990</w:t>
            </w:r>
          </w:p>
        </w:tc>
        <w:tc>
          <w:tcPr>
            <w:tcW w:w="2188" w:type="dxa"/>
          </w:tcPr>
          <w:p w:rsidR="008507D2" w:rsidRDefault="008507D2">
            <w:pPr>
              <w:pStyle w:val="Pa12"/>
              <w:ind w:firstLine="360"/>
              <w:rPr>
                <w:rFonts w:cs="Myriad Pro"/>
                <w:color w:val="000000"/>
                <w:sz w:val="18"/>
                <w:szCs w:val="18"/>
              </w:rPr>
            </w:pPr>
            <w:r>
              <w:rPr>
                <w:rStyle w:val="A10"/>
              </w:rPr>
              <w:t>308</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Kuwait</w:t>
            </w:r>
          </w:p>
        </w:tc>
        <w:tc>
          <w:tcPr>
            <w:tcW w:w="2187" w:type="dxa"/>
          </w:tcPr>
          <w:p w:rsidR="008507D2" w:rsidRDefault="008507D2">
            <w:pPr>
              <w:pStyle w:val="Pa0"/>
              <w:rPr>
                <w:rFonts w:cs="Myriad Pro"/>
                <w:color w:val="000000"/>
                <w:sz w:val="18"/>
                <w:szCs w:val="18"/>
              </w:rPr>
            </w:pPr>
            <w:r>
              <w:rPr>
                <w:rStyle w:val="A10"/>
              </w:rPr>
              <w:t>Future Generations Fund</w:t>
            </w:r>
          </w:p>
        </w:tc>
        <w:tc>
          <w:tcPr>
            <w:tcW w:w="2186" w:type="dxa"/>
          </w:tcPr>
          <w:p w:rsidR="008507D2" w:rsidRDefault="008507D2">
            <w:pPr>
              <w:pStyle w:val="Pa3"/>
              <w:jc w:val="center"/>
              <w:rPr>
                <w:rFonts w:cs="Myriad Pro"/>
                <w:color w:val="000000"/>
                <w:sz w:val="18"/>
                <w:szCs w:val="18"/>
              </w:rPr>
            </w:pPr>
            <w:r>
              <w:rPr>
                <w:rStyle w:val="A10"/>
              </w:rPr>
              <w:t>1976</w:t>
            </w:r>
          </w:p>
        </w:tc>
        <w:tc>
          <w:tcPr>
            <w:tcW w:w="2188" w:type="dxa"/>
          </w:tcPr>
          <w:p w:rsidR="008507D2" w:rsidRDefault="008507D2">
            <w:pPr>
              <w:pStyle w:val="Pa12"/>
              <w:ind w:firstLine="360"/>
              <w:rPr>
                <w:rFonts w:cs="Myriad Pro"/>
                <w:color w:val="000000"/>
                <w:sz w:val="18"/>
                <w:szCs w:val="18"/>
              </w:rPr>
            </w:pPr>
            <w:r>
              <w:rPr>
                <w:rStyle w:val="A10"/>
              </w:rPr>
              <w:t>174</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Russia</w:t>
            </w:r>
          </w:p>
        </w:tc>
        <w:tc>
          <w:tcPr>
            <w:tcW w:w="2187" w:type="dxa"/>
          </w:tcPr>
          <w:p w:rsidR="008507D2" w:rsidRDefault="008507D2">
            <w:pPr>
              <w:pStyle w:val="Pa0"/>
              <w:rPr>
                <w:rFonts w:cs="Myriad Pro"/>
                <w:color w:val="000000"/>
                <w:sz w:val="18"/>
                <w:szCs w:val="18"/>
              </w:rPr>
            </w:pPr>
            <w:r>
              <w:rPr>
                <w:rStyle w:val="A10"/>
              </w:rPr>
              <w:t>Stabilization Fund of the Russian Federation</w:t>
            </w:r>
          </w:p>
        </w:tc>
        <w:tc>
          <w:tcPr>
            <w:tcW w:w="2186" w:type="dxa"/>
          </w:tcPr>
          <w:p w:rsidR="008507D2" w:rsidRDefault="008507D2">
            <w:pPr>
              <w:pStyle w:val="Pa3"/>
              <w:jc w:val="center"/>
              <w:rPr>
                <w:rFonts w:cs="Myriad Pro"/>
                <w:color w:val="000000"/>
                <w:sz w:val="18"/>
                <w:szCs w:val="18"/>
              </w:rPr>
            </w:pPr>
            <w:r>
              <w:rPr>
                <w:rStyle w:val="A10"/>
              </w:rPr>
              <w:t>2004</w:t>
            </w:r>
          </w:p>
        </w:tc>
        <w:tc>
          <w:tcPr>
            <w:tcW w:w="2188" w:type="dxa"/>
          </w:tcPr>
          <w:p w:rsidR="008507D2" w:rsidRDefault="008507D2">
            <w:pPr>
              <w:pStyle w:val="Pa12"/>
              <w:ind w:firstLine="360"/>
              <w:rPr>
                <w:rFonts w:cs="Myriad Pro"/>
                <w:color w:val="000000"/>
                <w:sz w:val="18"/>
                <w:szCs w:val="18"/>
              </w:rPr>
            </w:pPr>
            <w:r>
              <w:rPr>
                <w:rStyle w:val="A10"/>
              </w:rPr>
              <w:t>122</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Singapore</w:t>
            </w:r>
          </w:p>
        </w:tc>
        <w:tc>
          <w:tcPr>
            <w:tcW w:w="2187" w:type="dxa"/>
          </w:tcPr>
          <w:p w:rsidR="008507D2" w:rsidRDefault="008507D2">
            <w:pPr>
              <w:pStyle w:val="Pa0"/>
              <w:rPr>
                <w:rFonts w:cs="Myriad Pro"/>
                <w:color w:val="000000"/>
                <w:sz w:val="10"/>
                <w:szCs w:val="10"/>
              </w:rPr>
            </w:pPr>
            <w:bookmarkStart w:id="8" w:name="OLE_LINK9"/>
            <w:bookmarkStart w:id="9" w:name="OLE_LINK10"/>
            <w:proofErr w:type="spellStart"/>
            <w:r>
              <w:rPr>
                <w:rStyle w:val="A10"/>
              </w:rPr>
              <w:t>Temasek</w:t>
            </w:r>
            <w:proofErr w:type="spellEnd"/>
            <w:r>
              <w:rPr>
                <w:rStyle w:val="A10"/>
              </w:rPr>
              <w:t xml:space="preserve"> </w:t>
            </w:r>
            <w:proofErr w:type="spellStart"/>
            <w:r>
              <w:rPr>
                <w:rStyle w:val="A10"/>
              </w:rPr>
              <w:t>Holdings</w:t>
            </w:r>
            <w:r>
              <w:rPr>
                <w:rStyle w:val="A80"/>
              </w:rPr>
              <w:t>b</w:t>
            </w:r>
            <w:bookmarkEnd w:id="8"/>
            <w:bookmarkEnd w:id="9"/>
            <w:proofErr w:type="spellEnd"/>
          </w:p>
        </w:tc>
        <w:tc>
          <w:tcPr>
            <w:tcW w:w="2186" w:type="dxa"/>
          </w:tcPr>
          <w:p w:rsidR="008507D2" w:rsidRDefault="008507D2">
            <w:pPr>
              <w:pStyle w:val="Pa3"/>
              <w:jc w:val="center"/>
              <w:rPr>
                <w:rFonts w:cs="Myriad Pro"/>
                <w:color w:val="000000"/>
                <w:sz w:val="18"/>
                <w:szCs w:val="18"/>
              </w:rPr>
            </w:pPr>
            <w:r>
              <w:rPr>
                <w:rStyle w:val="A10"/>
              </w:rPr>
              <w:t>1974</w:t>
            </w:r>
          </w:p>
        </w:tc>
        <w:tc>
          <w:tcPr>
            <w:tcW w:w="2188" w:type="dxa"/>
          </w:tcPr>
          <w:p w:rsidR="008507D2" w:rsidRDefault="008507D2">
            <w:pPr>
              <w:pStyle w:val="Pa12"/>
              <w:ind w:firstLine="360"/>
              <w:rPr>
                <w:rFonts w:cs="Myriad Pro"/>
                <w:color w:val="000000"/>
                <w:sz w:val="18"/>
                <w:szCs w:val="18"/>
              </w:rPr>
            </w:pPr>
            <w:r>
              <w:rPr>
                <w:rStyle w:val="A10"/>
              </w:rPr>
              <w:t>108</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China</w:t>
            </w:r>
          </w:p>
        </w:tc>
        <w:tc>
          <w:tcPr>
            <w:tcW w:w="2187" w:type="dxa"/>
          </w:tcPr>
          <w:p w:rsidR="008507D2" w:rsidRDefault="008507D2">
            <w:pPr>
              <w:pStyle w:val="Pa0"/>
              <w:rPr>
                <w:rFonts w:cs="Myriad Pro"/>
                <w:color w:val="000000"/>
                <w:sz w:val="10"/>
                <w:szCs w:val="10"/>
              </w:rPr>
            </w:pPr>
            <w:r>
              <w:rPr>
                <w:rStyle w:val="A10"/>
              </w:rPr>
              <w:t xml:space="preserve">Central </w:t>
            </w:r>
            <w:proofErr w:type="spellStart"/>
            <w:r>
              <w:rPr>
                <w:rStyle w:val="A10"/>
              </w:rPr>
              <w:t>Huijin</w:t>
            </w:r>
            <w:proofErr w:type="spellEnd"/>
            <w:r>
              <w:rPr>
                <w:rStyle w:val="A10"/>
              </w:rPr>
              <w:t xml:space="preserve"> Investment </w:t>
            </w:r>
            <w:proofErr w:type="spellStart"/>
            <w:r>
              <w:rPr>
                <w:rStyle w:val="A10"/>
              </w:rPr>
              <w:t>Company</w:t>
            </w:r>
            <w:r>
              <w:rPr>
                <w:rStyle w:val="A80"/>
              </w:rPr>
              <w:t>b</w:t>
            </w:r>
            <w:proofErr w:type="spellEnd"/>
          </w:p>
        </w:tc>
        <w:tc>
          <w:tcPr>
            <w:tcW w:w="2186" w:type="dxa"/>
          </w:tcPr>
          <w:p w:rsidR="008507D2" w:rsidRDefault="008507D2">
            <w:pPr>
              <w:pStyle w:val="Pa3"/>
              <w:jc w:val="center"/>
              <w:rPr>
                <w:rFonts w:cs="Myriad Pro"/>
                <w:color w:val="000000"/>
                <w:sz w:val="18"/>
                <w:szCs w:val="18"/>
              </w:rPr>
            </w:pPr>
            <w:r>
              <w:rPr>
                <w:rStyle w:val="A10"/>
              </w:rPr>
              <w:t>2003</w:t>
            </w:r>
          </w:p>
        </w:tc>
        <w:tc>
          <w:tcPr>
            <w:tcW w:w="2188" w:type="dxa"/>
          </w:tcPr>
          <w:p w:rsidR="008507D2" w:rsidRDefault="008507D2">
            <w:pPr>
              <w:pStyle w:val="Pa12"/>
              <w:ind w:firstLine="360"/>
              <w:rPr>
                <w:rFonts w:cs="Myriad Pro"/>
                <w:color w:val="000000"/>
                <w:sz w:val="10"/>
                <w:szCs w:val="10"/>
              </w:rPr>
            </w:pPr>
            <w:r>
              <w:rPr>
                <w:rStyle w:val="A10"/>
              </w:rPr>
              <w:t>66</w:t>
            </w:r>
            <w:r>
              <w:rPr>
                <w:rStyle w:val="A80"/>
              </w:rPr>
              <w:t>e</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 xml:space="preserve">Qatar </w:t>
            </w:r>
          </w:p>
        </w:tc>
        <w:tc>
          <w:tcPr>
            <w:tcW w:w="2187" w:type="dxa"/>
          </w:tcPr>
          <w:p w:rsidR="008507D2" w:rsidRDefault="008507D2">
            <w:pPr>
              <w:pStyle w:val="Pa0"/>
              <w:rPr>
                <w:rFonts w:cs="Myriad Pro"/>
                <w:color w:val="000000"/>
                <w:sz w:val="18"/>
                <w:szCs w:val="18"/>
              </w:rPr>
            </w:pPr>
            <w:r>
              <w:rPr>
                <w:rStyle w:val="A10"/>
              </w:rPr>
              <w:t>Qatar Investment Authority</w:t>
            </w:r>
          </w:p>
        </w:tc>
        <w:tc>
          <w:tcPr>
            <w:tcW w:w="2186" w:type="dxa"/>
          </w:tcPr>
          <w:p w:rsidR="008507D2" w:rsidRDefault="008507D2">
            <w:pPr>
              <w:pStyle w:val="Pa3"/>
              <w:jc w:val="center"/>
              <w:rPr>
                <w:rFonts w:cs="Myriad Pro"/>
                <w:color w:val="000000"/>
                <w:sz w:val="18"/>
                <w:szCs w:val="18"/>
              </w:rPr>
            </w:pPr>
            <w:r>
              <w:rPr>
                <w:rStyle w:val="A10"/>
              </w:rPr>
              <w:t>2005</w:t>
            </w:r>
          </w:p>
        </w:tc>
        <w:tc>
          <w:tcPr>
            <w:tcW w:w="2188" w:type="dxa"/>
          </w:tcPr>
          <w:p w:rsidR="008507D2" w:rsidRDefault="008507D2">
            <w:pPr>
              <w:pStyle w:val="Pa12"/>
              <w:ind w:firstLine="360"/>
              <w:rPr>
                <w:rFonts w:cs="Myriad Pro"/>
                <w:color w:val="000000"/>
                <w:sz w:val="10"/>
                <w:szCs w:val="10"/>
              </w:rPr>
            </w:pPr>
            <w:r>
              <w:rPr>
                <w:rStyle w:val="A10"/>
              </w:rPr>
              <w:t>50</w:t>
            </w:r>
            <w:r>
              <w:rPr>
                <w:rStyle w:val="A80"/>
              </w:rPr>
              <w:t>e</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Algeria</w:t>
            </w:r>
          </w:p>
        </w:tc>
        <w:tc>
          <w:tcPr>
            <w:tcW w:w="2187" w:type="dxa"/>
          </w:tcPr>
          <w:p w:rsidR="008507D2" w:rsidRDefault="008507D2">
            <w:pPr>
              <w:pStyle w:val="Pa0"/>
              <w:rPr>
                <w:rFonts w:cs="Myriad Pro"/>
                <w:color w:val="000000"/>
                <w:sz w:val="18"/>
                <w:szCs w:val="18"/>
              </w:rPr>
            </w:pPr>
            <w:r>
              <w:rPr>
                <w:rStyle w:val="A10"/>
              </w:rPr>
              <w:t>Revenue Regulation Fund</w:t>
            </w:r>
          </w:p>
        </w:tc>
        <w:tc>
          <w:tcPr>
            <w:tcW w:w="2186" w:type="dxa"/>
          </w:tcPr>
          <w:p w:rsidR="008507D2" w:rsidRDefault="008507D2">
            <w:pPr>
              <w:pStyle w:val="Pa3"/>
              <w:jc w:val="center"/>
              <w:rPr>
                <w:rFonts w:cs="Myriad Pro"/>
                <w:color w:val="000000"/>
                <w:sz w:val="18"/>
                <w:szCs w:val="18"/>
              </w:rPr>
            </w:pPr>
            <w:r>
              <w:rPr>
                <w:rStyle w:val="A10"/>
              </w:rPr>
              <w:t>2000</w:t>
            </w:r>
          </w:p>
        </w:tc>
        <w:tc>
          <w:tcPr>
            <w:tcW w:w="2188" w:type="dxa"/>
          </w:tcPr>
          <w:p w:rsidR="008507D2" w:rsidRDefault="008507D2">
            <w:pPr>
              <w:pStyle w:val="Pa12"/>
              <w:ind w:firstLine="360"/>
              <w:rPr>
                <w:rFonts w:cs="Myriad Pro"/>
                <w:color w:val="000000"/>
                <w:sz w:val="18"/>
                <w:szCs w:val="18"/>
              </w:rPr>
            </w:pPr>
            <w:r>
              <w:rPr>
                <w:rStyle w:val="A10"/>
              </w:rPr>
              <w:t>43</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Australia</w:t>
            </w:r>
          </w:p>
        </w:tc>
        <w:tc>
          <w:tcPr>
            <w:tcW w:w="2187" w:type="dxa"/>
          </w:tcPr>
          <w:p w:rsidR="008507D2" w:rsidRDefault="008507D2">
            <w:pPr>
              <w:pStyle w:val="Pa0"/>
              <w:rPr>
                <w:rFonts w:cs="Myriad Pro"/>
                <w:color w:val="000000"/>
                <w:sz w:val="10"/>
                <w:szCs w:val="10"/>
              </w:rPr>
            </w:pPr>
            <w:r>
              <w:rPr>
                <w:rStyle w:val="A10"/>
              </w:rPr>
              <w:t xml:space="preserve">Future </w:t>
            </w:r>
            <w:proofErr w:type="spellStart"/>
            <w:r>
              <w:rPr>
                <w:rStyle w:val="A10"/>
              </w:rPr>
              <w:t>Fund</w:t>
            </w:r>
            <w:r>
              <w:rPr>
                <w:rStyle w:val="A80"/>
              </w:rPr>
              <w:t>b</w:t>
            </w:r>
            <w:proofErr w:type="spellEnd"/>
          </w:p>
        </w:tc>
        <w:tc>
          <w:tcPr>
            <w:tcW w:w="2186" w:type="dxa"/>
          </w:tcPr>
          <w:p w:rsidR="008507D2" w:rsidRDefault="008507D2">
            <w:pPr>
              <w:pStyle w:val="Pa3"/>
              <w:jc w:val="center"/>
              <w:rPr>
                <w:rFonts w:cs="Myriad Pro"/>
                <w:color w:val="000000"/>
                <w:sz w:val="18"/>
                <w:szCs w:val="18"/>
              </w:rPr>
            </w:pPr>
            <w:r>
              <w:rPr>
                <w:rStyle w:val="A10"/>
              </w:rPr>
              <w:t>2006</w:t>
            </w:r>
          </w:p>
        </w:tc>
        <w:tc>
          <w:tcPr>
            <w:tcW w:w="2188" w:type="dxa"/>
          </w:tcPr>
          <w:p w:rsidR="008507D2" w:rsidRDefault="008507D2">
            <w:pPr>
              <w:pStyle w:val="Pa12"/>
              <w:ind w:firstLine="360"/>
              <w:rPr>
                <w:rFonts w:cs="Myriad Pro"/>
                <w:color w:val="000000"/>
                <w:sz w:val="18"/>
                <w:szCs w:val="18"/>
              </w:rPr>
            </w:pPr>
            <w:r>
              <w:rPr>
                <w:rStyle w:val="A10"/>
              </w:rPr>
              <w:t>42</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United States</w:t>
            </w:r>
          </w:p>
        </w:tc>
        <w:tc>
          <w:tcPr>
            <w:tcW w:w="2187" w:type="dxa"/>
          </w:tcPr>
          <w:p w:rsidR="008507D2" w:rsidRDefault="008507D2">
            <w:pPr>
              <w:pStyle w:val="Pa0"/>
              <w:rPr>
                <w:rFonts w:cs="Myriad Pro"/>
                <w:color w:val="000000"/>
                <w:sz w:val="10"/>
                <w:szCs w:val="10"/>
              </w:rPr>
            </w:pPr>
            <w:r>
              <w:rPr>
                <w:rStyle w:val="A10"/>
              </w:rPr>
              <w:t xml:space="preserve">Alaska Permanent </w:t>
            </w:r>
            <w:proofErr w:type="spellStart"/>
            <w:r>
              <w:rPr>
                <w:rStyle w:val="A10"/>
              </w:rPr>
              <w:t>Fund</w:t>
            </w:r>
            <w:r>
              <w:rPr>
                <w:rStyle w:val="A80"/>
              </w:rPr>
              <w:t>b</w:t>
            </w:r>
            <w:proofErr w:type="spellEnd"/>
          </w:p>
        </w:tc>
        <w:tc>
          <w:tcPr>
            <w:tcW w:w="2186" w:type="dxa"/>
          </w:tcPr>
          <w:p w:rsidR="008507D2" w:rsidRDefault="008507D2">
            <w:pPr>
              <w:pStyle w:val="Pa3"/>
              <w:jc w:val="center"/>
              <w:rPr>
                <w:rFonts w:cs="Myriad Pro"/>
                <w:color w:val="000000"/>
                <w:sz w:val="18"/>
                <w:szCs w:val="18"/>
              </w:rPr>
            </w:pPr>
            <w:r>
              <w:rPr>
                <w:rStyle w:val="A10"/>
              </w:rPr>
              <w:t>1976</w:t>
            </w:r>
          </w:p>
        </w:tc>
        <w:tc>
          <w:tcPr>
            <w:tcW w:w="2188" w:type="dxa"/>
          </w:tcPr>
          <w:p w:rsidR="008507D2" w:rsidRDefault="008507D2">
            <w:pPr>
              <w:pStyle w:val="Pa12"/>
              <w:ind w:firstLine="360"/>
              <w:rPr>
                <w:rFonts w:cs="Myriad Pro"/>
                <w:color w:val="000000"/>
                <w:sz w:val="18"/>
                <w:szCs w:val="18"/>
              </w:rPr>
            </w:pPr>
            <w:r>
              <w:rPr>
                <w:rStyle w:val="A10"/>
              </w:rPr>
              <w:t>40</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Kuwait</w:t>
            </w:r>
          </w:p>
        </w:tc>
        <w:tc>
          <w:tcPr>
            <w:tcW w:w="2187" w:type="dxa"/>
          </w:tcPr>
          <w:p w:rsidR="008507D2" w:rsidRDefault="008507D2">
            <w:pPr>
              <w:pStyle w:val="Pa0"/>
              <w:rPr>
                <w:rFonts w:cs="Myriad Pro"/>
                <w:color w:val="000000"/>
                <w:sz w:val="18"/>
                <w:szCs w:val="18"/>
              </w:rPr>
            </w:pPr>
            <w:r>
              <w:rPr>
                <w:rStyle w:val="A10"/>
              </w:rPr>
              <w:t>General Reserve Fund</w:t>
            </w:r>
          </w:p>
        </w:tc>
        <w:tc>
          <w:tcPr>
            <w:tcW w:w="2186" w:type="dxa"/>
          </w:tcPr>
          <w:p w:rsidR="008507D2" w:rsidRDefault="008507D2">
            <w:pPr>
              <w:pStyle w:val="Pa3"/>
              <w:jc w:val="center"/>
              <w:rPr>
                <w:rFonts w:cs="Myriad Pro"/>
                <w:color w:val="000000"/>
                <w:sz w:val="18"/>
                <w:szCs w:val="18"/>
              </w:rPr>
            </w:pPr>
            <w:r>
              <w:rPr>
                <w:rStyle w:val="A10"/>
              </w:rPr>
              <w:t>1960</w:t>
            </w:r>
          </w:p>
        </w:tc>
        <w:tc>
          <w:tcPr>
            <w:tcW w:w="2188" w:type="dxa"/>
          </w:tcPr>
          <w:p w:rsidR="008507D2" w:rsidRDefault="008507D2">
            <w:pPr>
              <w:pStyle w:val="Pa12"/>
              <w:ind w:firstLine="360"/>
              <w:rPr>
                <w:rFonts w:cs="Myriad Pro"/>
                <w:color w:val="000000"/>
                <w:sz w:val="18"/>
                <w:szCs w:val="18"/>
              </w:rPr>
            </w:pPr>
            <w:r>
              <w:rPr>
                <w:rStyle w:val="A10"/>
              </w:rPr>
              <w:t>39</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Brunei</w:t>
            </w:r>
          </w:p>
        </w:tc>
        <w:tc>
          <w:tcPr>
            <w:tcW w:w="2187" w:type="dxa"/>
          </w:tcPr>
          <w:p w:rsidR="008507D2" w:rsidRDefault="008507D2">
            <w:pPr>
              <w:pStyle w:val="Pa0"/>
              <w:rPr>
                <w:rFonts w:cs="Myriad Pro"/>
                <w:color w:val="000000"/>
                <w:sz w:val="18"/>
                <w:szCs w:val="18"/>
              </w:rPr>
            </w:pPr>
            <w:r>
              <w:rPr>
                <w:rStyle w:val="A10"/>
              </w:rPr>
              <w:t>Brunei Investment Agency</w:t>
            </w:r>
          </w:p>
        </w:tc>
        <w:tc>
          <w:tcPr>
            <w:tcW w:w="2186" w:type="dxa"/>
          </w:tcPr>
          <w:p w:rsidR="008507D2" w:rsidRDefault="008507D2">
            <w:pPr>
              <w:pStyle w:val="Pa3"/>
              <w:jc w:val="center"/>
              <w:rPr>
                <w:rFonts w:cs="Myriad Pro"/>
                <w:color w:val="000000"/>
                <w:sz w:val="18"/>
                <w:szCs w:val="18"/>
              </w:rPr>
            </w:pPr>
            <w:r>
              <w:rPr>
                <w:rStyle w:val="A10"/>
              </w:rPr>
              <w:t>1983</w:t>
            </w:r>
          </w:p>
        </w:tc>
        <w:tc>
          <w:tcPr>
            <w:tcW w:w="2188" w:type="dxa"/>
          </w:tcPr>
          <w:p w:rsidR="008507D2" w:rsidRDefault="008507D2">
            <w:pPr>
              <w:pStyle w:val="Pa12"/>
              <w:ind w:firstLine="360"/>
              <w:rPr>
                <w:rFonts w:cs="Myriad Pro"/>
                <w:color w:val="000000"/>
                <w:sz w:val="10"/>
                <w:szCs w:val="10"/>
              </w:rPr>
            </w:pPr>
            <w:r>
              <w:rPr>
                <w:rStyle w:val="A10"/>
              </w:rPr>
              <w:t>30</w:t>
            </w:r>
            <w:r>
              <w:rPr>
                <w:rStyle w:val="A80"/>
              </w:rPr>
              <w:t>e</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Korea</w:t>
            </w:r>
          </w:p>
        </w:tc>
        <w:tc>
          <w:tcPr>
            <w:tcW w:w="2187" w:type="dxa"/>
          </w:tcPr>
          <w:p w:rsidR="008507D2" w:rsidRDefault="008507D2">
            <w:pPr>
              <w:pStyle w:val="Pa0"/>
              <w:rPr>
                <w:rFonts w:cs="Myriad Pro"/>
                <w:color w:val="000000"/>
                <w:sz w:val="18"/>
                <w:szCs w:val="18"/>
              </w:rPr>
            </w:pPr>
            <w:r>
              <w:rPr>
                <w:rStyle w:val="A10"/>
              </w:rPr>
              <w:t>Korea Investment Corporation</w:t>
            </w:r>
          </w:p>
        </w:tc>
        <w:tc>
          <w:tcPr>
            <w:tcW w:w="2186" w:type="dxa"/>
          </w:tcPr>
          <w:p w:rsidR="008507D2" w:rsidRDefault="008507D2">
            <w:pPr>
              <w:pStyle w:val="Pa3"/>
              <w:jc w:val="center"/>
              <w:rPr>
                <w:rFonts w:cs="Myriad Pro"/>
                <w:color w:val="000000"/>
                <w:sz w:val="18"/>
                <w:szCs w:val="18"/>
              </w:rPr>
            </w:pPr>
            <w:r>
              <w:rPr>
                <w:rStyle w:val="A10"/>
              </w:rPr>
              <w:t>2005</w:t>
            </w:r>
          </w:p>
        </w:tc>
        <w:tc>
          <w:tcPr>
            <w:tcW w:w="2188" w:type="dxa"/>
          </w:tcPr>
          <w:p w:rsidR="008507D2" w:rsidRDefault="008507D2">
            <w:pPr>
              <w:pStyle w:val="Pa12"/>
              <w:ind w:firstLine="360"/>
              <w:rPr>
                <w:rFonts w:cs="Myriad Pro"/>
                <w:color w:val="000000"/>
                <w:sz w:val="10"/>
                <w:szCs w:val="10"/>
              </w:rPr>
            </w:pPr>
            <w:r>
              <w:rPr>
                <w:rStyle w:val="A10"/>
              </w:rPr>
              <w:t>20</w:t>
            </w:r>
            <w:r>
              <w:rPr>
                <w:rStyle w:val="A80"/>
              </w:rPr>
              <w:t>r</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Malaysia</w:t>
            </w:r>
          </w:p>
        </w:tc>
        <w:tc>
          <w:tcPr>
            <w:tcW w:w="2187" w:type="dxa"/>
          </w:tcPr>
          <w:p w:rsidR="008507D2" w:rsidRDefault="008507D2">
            <w:pPr>
              <w:pStyle w:val="Pa0"/>
              <w:rPr>
                <w:rFonts w:cs="Myriad Pro"/>
                <w:color w:val="000000"/>
                <w:sz w:val="10"/>
                <w:szCs w:val="10"/>
              </w:rPr>
            </w:pPr>
            <w:proofErr w:type="spellStart"/>
            <w:r>
              <w:rPr>
                <w:rStyle w:val="A10"/>
              </w:rPr>
              <w:t>Khazanah</w:t>
            </w:r>
            <w:proofErr w:type="spellEnd"/>
            <w:r>
              <w:rPr>
                <w:rStyle w:val="A10"/>
              </w:rPr>
              <w:t xml:space="preserve"> </w:t>
            </w:r>
            <w:proofErr w:type="spellStart"/>
            <w:r>
              <w:rPr>
                <w:rStyle w:val="A10"/>
              </w:rPr>
              <w:t>Nasional</w:t>
            </w:r>
            <w:r>
              <w:rPr>
                <w:rStyle w:val="A80"/>
              </w:rPr>
              <w:t>b</w:t>
            </w:r>
            <w:proofErr w:type="spellEnd"/>
          </w:p>
        </w:tc>
        <w:tc>
          <w:tcPr>
            <w:tcW w:w="2186" w:type="dxa"/>
          </w:tcPr>
          <w:p w:rsidR="008507D2" w:rsidRDefault="008507D2">
            <w:pPr>
              <w:pStyle w:val="Pa3"/>
              <w:jc w:val="center"/>
              <w:rPr>
                <w:rFonts w:cs="Myriad Pro"/>
                <w:color w:val="000000"/>
                <w:sz w:val="18"/>
                <w:szCs w:val="18"/>
              </w:rPr>
            </w:pPr>
            <w:r>
              <w:rPr>
                <w:rStyle w:val="A10"/>
              </w:rPr>
              <w:t>1993</w:t>
            </w:r>
          </w:p>
        </w:tc>
        <w:tc>
          <w:tcPr>
            <w:tcW w:w="2188" w:type="dxa"/>
          </w:tcPr>
          <w:p w:rsidR="008507D2" w:rsidRDefault="008507D2">
            <w:pPr>
              <w:pStyle w:val="Pa12"/>
              <w:ind w:firstLine="360"/>
              <w:rPr>
                <w:rFonts w:cs="Myriad Pro"/>
                <w:color w:val="000000"/>
                <w:sz w:val="18"/>
                <w:szCs w:val="18"/>
              </w:rPr>
            </w:pPr>
            <w:r>
              <w:rPr>
                <w:rStyle w:val="A10"/>
              </w:rPr>
              <w:t>18</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Kazakhstan</w:t>
            </w:r>
          </w:p>
        </w:tc>
        <w:tc>
          <w:tcPr>
            <w:tcW w:w="2187" w:type="dxa"/>
          </w:tcPr>
          <w:p w:rsidR="008507D2" w:rsidRDefault="008507D2">
            <w:pPr>
              <w:pStyle w:val="Pa0"/>
              <w:rPr>
                <w:rFonts w:cs="Myriad Pro"/>
                <w:color w:val="000000"/>
                <w:sz w:val="18"/>
                <w:szCs w:val="18"/>
              </w:rPr>
            </w:pPr>
            <w:r>
              <w:rPr>
                <w:rStyle w:val="A10"/>
              </w:rPr>
              <w:t>National Oil Fund</w:t>
            </w:r>
          </w:p>
        </w:tc>
        <w:tc>
          <w:tcPr>
            <w:tcW w:w="2186" w:type="dxa"/>
          </w:tcPr>
          <w:p w:rsidR="008507D2" w:rsidRDefault="008507D2">
            <w:pPr>
              <w:pStyle w:val="Pa3"/>
              <w:jc w:val="center"/>
              <w:rPr>
                <w:rFonts w:cs="Myriad Pro"/>
                <w:color w:val="000000"/>
                <w:sz w:val="18"/>
                <w:szCs w:val="18"/>
              </w:rPr>
            </w:pPr>
            <w:r>
              <w:rPr>
                <w:rStyle w:val="A10"/>
              </w:rPr>
              <w:t>2000</w:t>
            </w:r>
          </w:p>
        </w:tc>
        <w:tc>
          <w:tcPr>
            <w:tcW w:w="2188" w:type="dxa"/>
          </w:tcPr>
          <w:p w:rsidR="008507D2" w:rsidRDefault="008507D2">
            <w:pPr>
              <w:pStyle w:val="Pa12"/>
              <w:ind w:firstLine="360"/>
              <w:rPr>
                <w:rFonts w:cs="Myriad Pro"/>
                <w:color w:val="000000"/>
                <w:sz w:val="18"/>
                <w:szCs w:val="18"/>
              </w:rPr>
            </w:pPr>
            <w:r>
              <w:rPr>
                <w:rStyle w:val="A10"/>
              </w:rPr>
              <w:t>18</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 xml:space="preserve">Venezuela </w:t>
            </w:r>
          </w:p>
        </w:tc>
        <w:tc>
          <w:tcPr>
            <w:tcW w:w="2187" w:type="dxa"/>
          </w:tcPr>
          <w:p w:rsidR="008507D2" w:rsidRDefault="008507D2">
            <w:pPr>
              <w:pStyle w:val="Pa0"/>
              <w:rPr>
                <w:rFonts w:cs="Myriad Pro"/>
                <w:color w:val="000000"/>
                <w:sz w:val="10"/>
                <w:szCs w:val="10"/>
              </w:rPr>
            </w:pPr>
            <w:r>
              <w:rPr>
                <w:rStyle w:val="A10"/>
              </w:rPr>
              <w:t xml:space="preserve">National Development </w:t>
            </w:r>
            <w:proofErr w:type="spellStart"/>
            <w:r>
              <w:rPr>
                <w:rStyle w:val="A10"/>
              </w:rPr>
              <w:t>Fund</w:t>
            </w:r>
            <w:r>
              <w:rPr>
                <w:rStyle w:val="A80"/>
              </w:rPr>
              <w:t>c</w:t>
            </w:r>
            <w:proofErr w:type="spellEnd"/>
          </w:p>
        </w:tc>
        <w:tc>
          <w:tcPr>
            <w:tcW w:w="2186" w:type="dxa"/>
          </w:tcPr>
          <w:p w:rsidR="008507D2" w:rsidRDefault="008507D2">
            <w:pPr>
              <w:pStyle w:val="Pa3"/>
              <w:jc w:val="center"/>
              <w:rPr>
                <w:rFonts w:cs="Myriad Pro"/>
                <w:color w:val="000000"/>
                <w:sz w:val="18"/>
                <w:szCs w:val="18"/>
              </w:rPr>
            </w:pPr>
            <w:r>
              <w:rPr>
                <w:rStyle w:val="A10"/>
              </w:rPr>
              <w:t>2005</w:t>
            </w:r>
          </w:p>
        </w:tc>
        <w:tc>
          <w:tcPr>
            <w:tcW w:w="2188" w:type="dxa"/>
          </w:tcPr>
          <w:p w:rsidR="008507D2" w:rsidRDefault="008507D2">
            <w:pPr>
              <w:pStyle w:val="Pa12"/>
              <w:ind w:firstLine="360"/>
              <w:rPr>
                <w:rFonts w:cs="Myriad Pro"/>
                <w:color w:val="000000"/>
                <w:sz w:val="18"/>
                <w:szCs w:val="18"/>
              </w:rPr>
            </w:pPr>
            <w:r>
              <w:rPr>
                <w:rStyle w:val="A10"/>
              </w:rPr>
              <w:t>15</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Canada</w:t>
            </w:r>
          </w:p>
        </w:tc>
        <w:tc>
          <w:tcPr>
            <w:tcW w:w="2187" w:type="dxa"/>
          </w:tcPr>
          <w:p w:rsidR="008507D2" w:rsidRDefault="008507D2">
            <w:pPr>
              <w:pStyle w:val="Pa0"/>
              <w:rPr>
                <w:rFonts w:cs="Myriad Pro"/>
                <w:color w:val="000000"/>
                <w:sz w:val="10"/>
                <w:szCs w:val="10"/>
              </w:rPr>
            </w:pPr>
            <w:r>
              <w:rPr>
                <w:rStyle w:val="A10"/>
              </w:rPr>
              <w:t xml:space="preserve">Alberta Heritage Savings Trust </w:t>
            </w:r>
            <w:proofErr w:type="spellStart"/>
            <w:r>
              <w:rPr>
                <w:rStyle w:val="A10"/>
              </w:rPr>
              <w:t>Fund</w:t>
            </w:r>
            <w:r>
              <w:rPr>
                <w:rStyle w:val="A80"/>
              </w:rPr>
              <w:t>b</w:t>
            </w:r>
            <w:proofErr w:type="spellEnd"/>
          </w:p>
        </w:tc>
        <w:tc>
          <w:tcPr>
            <w:tcW w:w="2186" w:type="dxa"/>
          </w:tcPr>
          <w:p w:rsidR="008507D2" w:rsidRDefault="008507D2">
            <w:pPr>
              <w:pStyle w:val="Pa3"/>
              <w:jc w:val="center"/>
              <w:rPr>
                <w:rFonts w:cs="Myriad Pro"/>
                <w:color w:val="000000"/>
                <w:sz w:val="18"/>
                <w:szCs w:val="18"/>
              </w:rPr>
            </w:pPr>
            <w:r>
              <w:rPr>
                <w:rStyle w:val="A10"/>
              </w:rPr>
              <w:t>1976</w:t>
            </w:r>
          </w:p>
        </w:tc>
        <w:tc>
          <w:tcPr>
            <w:tcW w:w="2188" w:type="dxa"/>
          </w:tcPr>
          <w:p w:rsidR="008507D2" w:rsidRDefault="008507D2">
            <w:pPr>
              <w:pStyle w:val="Pa12"/>
              <w:ind w:firstLine="360"/>
              <w:rPr>
                <w:rFonts w:cs="Myriad Pro"/>
                <w:color w:val="000000"/>
                <w:sz w:val="18"/>
                <w:szCs w:val="18"/>
              </w:rPr>
            </w:pPr>
            <w:r>
              <w:rPr>
                <w:rStyle w:val="A10"/>
              </w:rPr>
              <w:t>14</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Iran</w:t>
            </w:r>
          </w:p>
        </w:tc>
        <w:tc>
          <w:tcPr>
            <w:tcW w:w="2187" w:type="dxa"/>
          </w:tcPr>
          <w:p w:rsidR="008507D2" w:rsidRDefault="008507D2">
            <w:pPr>
              <w:pStyle w:val="Pa0"/>
              <w:rPr>
                <w:rFonts w:cs="Myriad Pro"/>
                <w:color w:val="000000"/>
                <w:sz w:val="18"/>
                <w:szCs w:val="18"/>
              </w:rPr>
            </w:pPr>
            <w:r>
              <w:rPr>
                <w:rStyle w:val="A10"/>
              </w:rPr>
              <w:t>Oil Stabilization Fund</w:t>
            </w:r>
          </w:p>
        </w:tc>
        <w:tc>
          <w:tcPr>
            <w:tcW w:w="2186" w:type="dxa"/>
          </w:tcPr>
          <w:p w:rsidR="008507D2" w:rsidRDefault="008507D2">
            <w:pPr>
              <w:pStyle w:val="Pa3"/>
              <w:jc w:val="center"/>
              <w:rPr>
                <w:rFonts w:cs="Myriad Pro"/>
                <w:color w:val="000000"/>
                <w:sz w:val="18"/>
                <w:szCs w:val="18"/>
              </w:rPr>
            </w:pPr>
            <w:r>
              <w:rPr>
                <w:rStyle w:val="A10"/>
              </w:rPr>
              <w:t>2000</w:t>
            </w:r>
          </w:p>
        </w:tc>
        <w:tc>
          <w:tcPr>
            <w:tcW w:w="2188" w:type="dxa"/>
          </w:tcPr>
          <w:p w:rsidR="008507D2" w:rsidRDefault="008507D2">
            <w:pPr>
              <w:pStyle w:val="Pa12"/>
              <w:ind w:firstLine="360"/>
              <w:rPr>
                <w:rFonts w:cs="Myriad Pro"/>
                <w:color w:val="000000"/>
                <w:sz w:val="10"/>
                <w:szCs w:val="10"/>
              </w:rPr>
            </w:pPr>
            <w:r>
              <w:rPr>
                <w:rStyle w:val="A10"/>
              </w:rPr>
              <w:t>12</w:t>
            </w:r>
            <w:r>
              <w:rPr>
                <w:rStyle w:val="A80"/>
              </w:rPr>
              <w:t>e</w:t>
            </w:r>
          </w:p>
        </w:tc>
      </w:tr>
      <w:tr w:rsidR="008507D2" w:rsidTr="008507D2">
        <w:trPr>
          <w:trHeight w:val="108"/>
        </w:trPr>
        <w:tc>
          <w:tcPr>
            <w:tcW w:w="2186" w:type="dxa"/>
          </w:tcPr>
          <w:p w:rsidR="008507D2" w:rsidRDefault="008507D2">
            <w:pPr>
              <w:pStyle w:val="Pa0"/>
              <w:rPr>
                <w:rFonts w:cs="Myriad Pro"/>
                <w:color w:val="000000"/>
                <w:sz w:val="18"/>
                <w:szCs w:val="18"/>
              </w:rPr>
            </w:pPr>
            <w:r>
              <w:rPr>
                <w:rStyle w:val="A10"/>
              </w:rPr>
              <w:t>New Zealand</w:t>
            </w:r>
          </w:p>
        </w:tc>
        <w:tc>
          <w:tcPr>
            <w:tcW w:w="2187" w:type="dxa"/>
          </w:tcPr>
          <w:p w:rsidR="008507D2" w:rsidRDefault="008507D2">
            <w:pPr>
              <w:pStyle w:val="Pa0"/>
              <w:rPr>
                <w:rFonts w:cs="Myriad Pro"/>
                <w:color w:val="000000"/>
                <w:sz w:val="10"/>
                <w:szCs w:val="10"/>
              </w:rPr>
            </w:pPr>
            <w:r>
              <w:rPr>
                <w:rStyle w:val="A10"/>
              </w:rPr>
              <w:t xml:space="preserve">Superannuation </w:t>
            </w:r>
            <w:proofErr w:type="spellStart"/>
            <w:r>
              <w:rPr>
                <w:rStyle w:val="A10"/>
              </w:rPr>
              <w:t>Fund</w:t>
            </w:r>
            <w:r>
              <w:rPr>
                <w:rStyle w:val="A80"/>
              </w:rPr>
              <w:t>b</w:t>
            </w:r>
            <w:proofErr w:type="spellEnd"/>
          </w:p>
        </w:tc>
        <w:tc>
          <w:tcPr>
            <w:tcW w:w="2186" w:type="dxa"/>
          </w:tcPr>
          <w:p w:rsidR="008507D2" w:rsidRDefault="008507D2">
            <w:pPr>
              <w:pStyle w:val="Pa3"/>
              <w:jc w:val="center"/>
              <w:rPr>
                <w:rFonts w:cs="Myriad Pro"/>
                <w:color w:val="000000"/>
                <w:sz w:val="18"/>
                <w:szCs w:val="18"/>
              </w:rPr>
            </w:pPr>
            <w:r>
              <w:rPr>
                <w:rStyle w:val="A10"/>
              </w:rPr>
              <w:t>2001</w:t>
            </w:r>
          </w:p>
        </w:tc>
        <w:tc>
          <w:tcPr>
            <w:tcW w:w="2188" w:type="dxa"/>
          </w:tcPr>
          <w:p w:rsidR="008507D2" w:rsidRDefault="008507D2">
            <w:pPr>
              <w:pStyle w:val="Pa12"/>
              <w:ind w:firstLine="360"/>
              <w:rPr>
                <w:rFonts w:cs="Myriad Pro"/>
                <w:color w:val="000000"/>
                <w:sz w:val="18"/>
                <w:szCs w:val="18"/>
              </w:rPr>
            </w:pPr>
            <w:r>
              <w:rPr>
                <w:rStyle w:val="A10"/>
              </w:rPr>
              <w:t>10</w:t>
            </w:r>
          </w:p>
        </w:tc>
      </w:tr>
      <w:tr w:rsidR="008507D2" w:rsidTr="008507D2">
        <w:trPr>
          <w:trHeight w:val="108"/>
        </w:trPr>
        <w:tc>
          <w:tcPr>
            <w:tcW w:w="4373" w:type="dxa"/>
            <w:gridSpan w:val="2"/>
          </w:tcPr>
          <w:p w:rsidR="008507D2" w:rsidRDefault="008507D2">
            <w:pPr>
              <w:pStyle w:val="Pa0"/>
              <w:rPr>
                <w:rFonts w:cs="Myriad Pro"/>
                <w:color w:val="000000"/>
                <w:sz w:val="10"/>
                <w:szCs w:val="10"/>
              </w:rPr>
            </w:pPr>
            <w:proofErr w:type="spellStart"/>
            <w:r>
              <w:rPr>
                <w:rStyle w:val="A10"/>
              </w:rPr>
              <w:t>Total</w:t>
            </w:r>
            <w:r>
              <w:rPr>
                <w:rStyle w:val="A80"/>
              </w:rPr>
              <w:t>d</w:t>
            </w:r>
            <w:proofErr w:type="spellEnd"/>
          </w:p>
        </w:tc>
        <w:tc>
          <w:tcPr>
            <w:tcW w:w="4374" w:type="dxa"/>
            <w:gridSpan w:val="2"/>
          </w:tcPr>
          <w:p w:rsidR="008507D2" w:rsidRDefault="008507D2" w:rsidP="000C1E5C">
            <w:pPr>
              <w:pStyle w:val="Pa12"/>
              <w:tabs>
                <w:tab w:val="right" w:pos="4158"/>
              </w:tabs>
              <w:ind w:firstLine="360"/>
              <w:rPr>
                <w:rFonts w:cs="Myriad Pro"/>
                <w:color w:val="000000"/>
                <w:sz w:val="18"/>
                <w:szCs w:val="18"/>
              </w:rPr>
            </w:pPr>
            <w:r>
              <w:rPr>
                <w:rStyle w:val="A10"/>
              </w:rPr>
              <w:t>2,032</w:t>
            </w:r>
            <w:r w:rsidR="000C1E5C">
              <w:rPr>
                <w:rStyle w:val="A10"/>
              </w:rPr>
              <w:tab/>
              <w:t xml:space="preserve">               </w:t>
            </w:r>
          </w:p>
        </w:tc>
      </w:tr>
    </w:tbl>
    <w:p w:rsidR="008507D2" w:rsidRDefault="008507D2" w:rsidP="000C1E5C">
      <w:pPr>
        <w:jc w:val="both"/>
        <w:rPr>
          <w:rFonts w:ascii="Traditional Arabic" w:eastAsia="Times New Roman" w:hAnsi="Traditional Arabic" w:cs="Traditional Arabic"/>
          <w:sz w:val="32"/>
          <w:szCs w:val="32"/>
          <w:rtl/>
        </w:rPr>
      </w:pPr>
    </w:p>
    <w:p w:rsidR="005B2D79" w:rsidRDefault="005B2D79" w:rsidP="005B2D79">
      <w:pPr>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وهناك نماذج مختلفة من الصناديق السياديَّة العالمية يمكن استخلاص دروس منها وتجسّد في ثلاثة بلدان وهي النرويج، سنغافورة، والصين</w:t>
      </w:r>
      <w:r>
        <w:rPr>
          <w:rFonts w:ascii="Traditional Arabic" w:eastAsia="Times New Roman" w:hAnsi="Traditional Arabic" w:cs="Traditional Arabic"/>
          <w:sz w:val="32"/>
          <w:szCs w:val="32"/>
        </w:rPr>
        <w:t xml:space="preserve"> .</w:t>
      </w:r>
    </w:p>
    <w:p w:rsidR="005B2D79" w:rsidRDefault="005B2D79" w:rsidP="005B2D79">
      <w:pPr>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ويُعتبر الصندوق السيادي الخاص ب</w:t>
      </w:r>
      <w:r>
        <w:rPr>
          <w:rFonts w:ascii="Traditional Arabic" w:eastAsia="Times New Roman" w:hAnsi="Traditional Arabic" w:cs="Traditional Arabic"/>
          <w:sz w:val="32"/>
          <w:szCs w:val="32"/>
          <w:u w:val="single"/>
          <w:rtl/>
        </w:rPr>
        <w:t>النرويج</w:t>
      </w:r>
      <w:r>
        <w:rPr>
          <w:rFonts w:ascii="Traditional Arabic" w:eastAsia="Times New Roman" w:hAnsi="Traditional Arabic" w:cs="Traditional Arabic"/>
          <w:sz w:val="32"/>
          <w:szCs w:val="32"/>
          <w:rtl/>
        </w:rPr>
        <w:t xml:space="preserve"> نموذجاً مثالياً لأفضل الممارسات الاستثمارية لأنه يعمل في إطارٍ منظّم وفائق الشفافية. وقد سمحت الحوكمة والشفافية للصندوق أن يعزّز العائدات المالية على الإيرادات </w:t>
      </w:r>
      <w:r>
        <w:rPr>
          <w:rFonts w:ascii="Traditional Arabic" w:eastAsia="Times New Roman" w:hAnsi="Traditional Arabic" w:cs="Traditional Arabic"/>
          <w:sz w:val="32"/>
          <w:szCs w:val="32"/>
          <w:rtl/>
        </w:rPr>
        <w:lastRenderedPageBreak/>
        <w:t>من بيع النفط، وتعزيز استقرار الاقتصاد العام، بالإضافة إلى كون الصندوق عاملاً فاعلاً و مسؤولاً في المجتمع</w:t>
      </w:r>
      <w:r>
        <w:rPr>
          <w:rFonts w:ascii="Traditional Arabic" w:eastAsia="Times New Roman" w:hAnsi="Traditional Arabic" w:cs="Traditional Arabic"/>
          <w:sz w:val="32"/>
          <w:szCs w:val="32"/>
        </w:rPr>
        <w:t xml:space="preserve"> </w:t>
      </w:r>
    </w:p>
    <w:p w:rsidR="005B2D79" w:rsidRDefault="005B2D79" w:rsidP="00E05B13">
      <w:pPr>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 xml:space="preserve">أمّا نجاح </w:t>
      </w:r>
      <w:r>
        <w:rPr>
          <w:rFonts w:ascii="Traditional Arabic" w:eastAsia="Times New Roman" w:hAnsi="Traditional Arabic" w:cs="Traditional Arabic"/>
          <w:sz w:val="32"/>
          <w:szCs w:val="32"/>
          <w:u w:val="single"/>
          <w:rtl/>
        </w:rPr>
        <w:t>سنغافورة</w:t>
      </w:r>
      <w:r>
        <w:rPr>
          <w:rFonts w:ascii="Traditional Arabic" w:eastAsia="Times New Roman" w:hAnsi="Traditional Arabic" w:cs="Traditional Arabic"/>
          <w:sz w:val="32"/>
          <w:szCs w:val="32"/>
          <w:rtl/>
        </w:rPr>
        <w:t xml:space="preserve"> في تعزيز النمو الاجتماعي الاقتصادي، فهو مثال إيجابي للصناديق السياديَّة يمكن الاحتذاء به. ويضيف سمّان : نجحت </w:t>
      </w:r>
      <w:r w:rsidR="00E05B13">
        <w:rPr>
          <w:rStyle w:val="a8"/>
          <w:rFonts w:ascii="Traditional Arabic" w:eastAsia="Times New Roman" w:hAnsi="Traditional Arabic" w:cs="Traditional Arabic"/>
          <w:sz w:val="32"/>
          <w:szCs w:val="32"/>
          <w:rtl/>
        </w:rPr>
        <w:footnoteReference w:id="5"/>
      </w:r>
      <w:proofErr w:type="spellStart"/>
      <w:r w:rsidR="00E05B13" w:rsidRPr="00E05B13">
        <w:rPr>
          <w:rStyle w:val="A10"/>
          <w:sz w:val="22"/>
          <w:szCs w:val="22"/>
        </w:rPr>
        <w:t>Temasek</w:t>
      </w:r>
      <w:proofErr w:type="spellEnd"/>
      <w:r w:rsidR="00E05B13" w:rsidRPr="00E05B13">
        <w:rPr>
          <w:rStyle w:val="A10"/>
          <w:sz w:val="22"/>
          <w:szCs w:val="22"/>
        </w:rPr>
        <w:t xml:space="preserve"> Holdings</w:t>
      </w:r>
      <w:r w:rsidRPr="00E05B13">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sz w:val="32"/>
          <w:szCs w:val="32"/>
          <w:rtl/>
        </w:rPr>
        <w:t>في سنغافورة بإدارة الشركات الحكومية، وتعزيز تنمية قطاعات كالتكنولوجيا، والنقل، والخدمات اللوجستية</w:t>
      </w:r>
      <w:r>
        <w:rPr>
          <w:rFonts w:ascii="Traditional Arabic" w:eastAsia="Times New Roman" w:hAnsi="Traditional Arabic" w:cs="Traditional Arabic"/>
          <w:sz w:val="32"/>
          <w:szCs w:val="32"/>
        </w:rPr>
        <w:t>.</w:t>
      </w:r>
    </w:p>
    <w:p w:rsidR="005B2D79" w:rsidRDefault="005B2D79" w:rsidP="005B2D79">
      <w:pPr>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 xml:space="preserve">أما الصناديق السياديَّة في </w:t>
      </w:r>
      <w:r>
        <w:rPr>
          <w:rFonts w:ascii="Traditional Arabic" w:eastAsia="Times New Roman" w:hAnsi="Traditional Arabic" w:cs="Traditional Arabic"/>
          <w:sz w:val="32"/>
          <w:szCs w:val="32"/>
          <w:u w:val="single"/>
          <w:rtl/>
        </w:rPr>
        <w:t>الصين</w:t>
      </w:r>
      <w:r>
        <w:rPr>
          <w:rFonts w:ascii="Traditional Arabic" w:eastAsia="Times New Roman" w:hAnsi="Traditional Arabic" w:cs="Traditional Arabic"/>
          <w:sz w:val="32"/>
          <w:szCs w:val="32"/>
          <w:rtl/>
        </w:rPr>
        <w:t xml:space="preserve"> فتُعتبر مهمّة لما تعكس هذه الصناديق من سعي الصين وراء التنمية الاجتماعية والاقتصادية، والطريقة التي تتعامل بها مع أهدافها الاستثمارية</w:t>
      </w:r>
      <w:r>
        <w:rPr>
          <w:rFonts w:ascii="Traditional Arabic" w:eastAsia="Times New Roman" w:hAnsi="Traditional Arabic" w:cs="Traditional Arabic"/>
          <w:sz w:val="32"/>
          <w:szCs w:val="32"/>
        </w:rPr>
        <w:t>.</w:t>
      </w:r>
    </w:p>
    <w:p w:rsidR="005B2D79" w:rsidRDefault="005B2D79" w:rsidP="005B2D79">
      <w:pPr>
        <w:jc w:val="both"/>
        <w:rPr>
          <w:rFonts w:ascii="Traditional Arabic" w:eastAsia="Times New Roman" w:hAnsi="Traditional Arabic" w:cs="Traditional Arabic"/>
          <w:rtl/>
        </w:rPr>
      </w:pPr>
      <w:r>
        <w:rPr>
          <w:rFonts w:ascii="Traditional Arabic" w:eastAsia="Times New Roman" w:hAnsi="Traditional Arabic" w:cs="Traditional Arabic"/>
          <w:sz w:val="32"/>
          <w:szCs w:val="32"/>
          <w:u w:val="single"/>
          <w:rtl/>
        </w:rPr>
        <w:t>بالإضافة إلى الصناديق الخليجية</w:t>
      </w:r>
    </w:p>
    <w:p w:rsidR="005B2D79" w:rsidRDefault="005B2D79" w:rsidP="005B2D79">
      <w:pPr>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يمكن للصناديق السياديَّة في مجلس التعاون الخليجي أن تدعم استراتيجيات النمو الاقتصادي المحلي من خلال استثماراتها الدولية والمحلية. فالاستثمارات الدولية مثلاً توفرّ سبلاً للتعاون مع إدارات الشركات المستثمر فيها والتعرف على نماذج عمل مختلفة، بالإضافة إلى إجراءات واستراتيجيات من شأنها أن تضيف إلى الخبرات المحلية. كما تساعد الاستثمارات في الشركات المتعددة الجنسيات على كسب التكنولوجيات المهمة، والمعرفة من خلال توفير الحوافز لهذه الشركات والضغط عليها من أجل زيادة القيمة محلياً ونقل المعرفة والخبرة. ومحلياً يمكن للصناديق السياديَّة في مجلس التعاون الخليجي أن تبادر باستثمارات تستهدف القطاعات التي تكمّل استثماراتها العالمية بهدف إطلاق عجلة النمو الاقتصادي. ومن المهم الإشارة إلى أن نقل المعرفة من خلال الاستثمارات يجب أن يكون مصحوباً بمقومات أساسية مثل رأس المال البشري المؤهل، والبنية التحتية، والمؤسسات الفعالة، وذلك بهدف تسهيل استيعاب المعرفة المنقولة وتطويرها</w:t>
      </w:r>
      <w:r>
        <w:rPr>
          <w:rFonts w:ascii="Traditional Arabic" w:eastAsia="Times New Roman" w:hAnsi="Traditional Arabic" w:cs="Traditional Arabic"/>
          <w:sz w:val="32"/>
          <w:szCs w:val="32"/>
        </w:rPr>
        <w:t>.</w:t>
      </w:r>
    </w:p>
    <w:p w:rsidR="005B2D79" w:rsidRDefault="005B2D79" w:rsidP="005B2D79">
      <w:pPr>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وعلى الصناديق السياديَّة في مجلس التعاون الخليجي أن تستخدم ثروتها في المراحل التي تتميز بحركة اقتصادية ضعيفة بهدف إطلاق عجلة النمو الاقتصادي والحفاظ على تمويل الاستثمارات الاستراتيجية.</w:t>
      </w:r>
    </w:p>
    <w:p w:rsidR="005B2D79" w:rsidRDefault="005B2D79" w:rsidP="005B2D79">
      <w:pPr>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 xml:space="preserve"> فصندوق النرويج السيادي على سبيل المثال راح يدعم مشاريع البنية التحتية غداة الأزمة الاقتصادية العالمية بهدف الحفاظ على النمو الاقتصادي للبلاد</w:t>
      </w:r>
      <w:r>
        <w:rPr>
          <w:rFonts w:ascii="Traditional Arabic" w:eastAsia="Times New Roman" w:hAnsi="Traditional Arabic" w:cs="Traditional Arabic"/>
          <w:sz w:val="32"/>
          <w:szCs w:val="32"/>
        </w:rPr>
        <w:t>.</w:t>
      </w:r>
    </w:p>
    <w:p w:rsidR="008B5547" w:rsidRDefault="008B5547" w:rsidP="008B5547">
      <w:pPr>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هذا وتزداد الصناديق السيادية حجماً وعدداً ويفسر هذا النمو في عدد الصناديق وأحجامها</w:t>
      </w:r>
      <w:r>
        <w:rPr>
          <w:rFonts w:ascii="Traditional Arabic" w:eastAsia="Times New Roman" w:hAnsi="Traditional Arabic" w:cs="Traditional Arabic"/>
          <w:sz w:val="32"/>
          <w:szCs w:val="32"/>
        </w:rPr>
        <w:t>:</w:t>
      </w:r>
    </w:p>
    <w:p w:rsidR="008B5547" w:rsidRDefault="008B5547" w:rsidP="008B5547">
      <w:pPr>
        <w:ind w:left="720" w:hanging="360"/>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1.</w:t>
      </w:r>
      <w:r>
        <w:rPr>
          <w:rFonts w:ascii="Traditional Arabic" w:eastAsia="Times New Roman" w:hAnsi="Traditional Arabic" w:cs="Traditional Arabic"/>
          <w:sz w:val="14"/>
          <w:szCs w:val="14"/>
          <w:rtl/>
        </w:rPr>
        <w:t xml:space="preserve">    </w:t>
      </w:r>
      <w:r>
        <w:rPr>
          <w:rFonts w:ascii="Traditional Arabic" w:eastAsia="Times New Roman" w:hAnsi="Traditional Arabic" w:cs="Traditional Arabic"/>
          <w:sz w:val="32"/>
          <w:szCs w:val="32"/>
          <w:rtl/>
        </w:rPr>
        <w:t>ارتفاع أسعار البترول ابتداء من تسعينيات القرن العشرين بوتيرة غير مسبوقة.</w:t>
      </w:r>
    </w:p>
    <w:p w:rsidR="008B5547" w:rsidRPr="008B5547" w:rsidRDefault="008B5547" w:rsidP="008B5547">
      <w:pPr>
        <w:ind w:left="720" w:hanging="360"/>
        <w:jc w:val="both"/>
        <w:rPr>
          <w:rFonts w:ascii="Traditional Arabic" w:eastAsia="Times New Roman" w:hAnsi="Traditional Arabic" w:cs="Traditional Arabic"/>
          <w:sz w:val="30"/>
          <w:szCs w:val="30"/>
          <w:rtl/>
        </w:rPr>
      </w:pPr>
      <w:r>
        <w:rPr>
          <w:rFonts w:ascii="Traditional Arabic" w:eastAsia="Times New Roman" w:hAnsi="Traditional Arabic" w:cs="Traditional Arabic"/>
          <w:sz w:val="32"/>
          <w:szCs w:val="32"/>
          <w:rtl/>
        </w:rPr>
        <w:lastRenderedPageBreak/>
        <w:t>2.</w:t>
      </w:r>
      <w:r>
        <w:rPr>
          <w:rFonts w:ascii="Traditional Arabic" w:eastAsia="Times New Roman" w:hAnsi="Traditional Arabic" w:cs="Traditional Arabic"/>
          <w:sz w:val="14"/>
          <w:szCs w:val="14"/>
          <w:rtl/>
        </w:rPr>
        <w:t xml:space="preserve">    </w:t>
      </w:r>
      <w:r w:rsidRPr="008B5547">
        <w:rPr>
          <w:rFonts w:ascii="Traditional Arabic" w:eastAsia="Times New Roman" w:hAnsi="Traditional Arabic" w:cs="Traditional Arabic"/>
          <w:sz w:val="30"/>
          <w:szCs w:val="30"/>
          <w:rtl/>
        </w:rPr>
        <w:t>تباطؤ النمو العالمي وانعكاساته على الحساب الجاري للولايات المتحدة الأمريكية وشركائها التجاريين الرئيسيين الأسيويين</w:t>
      </w:r>
      <w:r w:rsidRPr="008B5547">
        <w:rPr>
          <w:rFonts w:ascii="Traditional Arabic" w:eastAsia="Times New Roman" w:hAnsi="Traditional Arabic" w:cs="Traditional Arabic"/>
          <w:sz w:val="30"/>
          <w:szCs w:val="30"/>
        </w:rPr>
        <w:t>.</w:t>
      </w:r>
    </w:p>
    <w:p w:rsidR="008B5547" w:rsidRDefault="008B5547" w:rsidP="008B5547">
      <w:pPr>
        <w:ind w:left="720" w:hanging="360"/>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3.</w:t>
      </w:r>
      <w:r>
        <w:rPr>
          <w:rFonts w:ascii="Traditional Arabic" w:eastAsia="Times New Roman" w:hAnsi="Traditional Arabic" w:cs="Traditional Arabic"/>
          <w:sz w:val="14"/>
          <w:szCs w:val="14"/>
          <w:rtl/>
        </w:rPr>
        <w:t xml:space="preserve">    </w:t>
      </w:r>
      <w:r>
        <w:rPr>
          <w:rFonts w:ascii="Traditional Arabic" w:eastAsia="Times New Roman" w:hAnsi="Traditional Arabic" w:cs="Traditional Arabic"/>
          <w:sz w:val="32"/>
          <w:szCs w:val="32"/>
          <w:rtl/>
        </w:rPr>
        <w:t>تزايد تخصصات الاحتياطيات وتحويلات الفوائض الميزانية لصالح هذه الصناديق</w:t>
      </w:r>
      <w:r>
        <w:rPr>
          <w:rFonts w:ascii="Traditional Arabic" w:eastAsia="Times New Roman" w:hAnsi="Traditional Arabic" w:cs="Traditional Arabic"/>
          <w:sz w:val="32"/>
          <w:szCs w:val="32"/>
        </w:rPr>
        <w:t>.</w:t>
      </w:r>
    </w:p>
    <w:p w:rsidR="005B2D79" w:rsidRPr="00966167" w:rsidRDefault="008B5547" w:rsidP="008B5547">
      <w:pPr>
        <w:ind w:left="720" w:hanging="360"/>
        <w:jc w:val="both"/>
        <w:rPr>
          <w:rFonts w:ascii="Traditional Arabic" w:eastAsia="Times New Roman" w:hAnsi="Traditional Arabic" w:cs="Traditional Arabic"/>
          <w:rtl/>
        </w:rPr>
      </w:pPr>
      <w:r>
        <w:rPr>
          <w:rFonts w:ascii="Traditional Arabic" w:eastAsia="Times New Roman" w:hAnsi="Traditional Arabic" w:cs="Traditional Arabic"/>
          <w:sz w:val="32"/>
          <w:szCs w:val="32"/>
          <w:rtl/>
        </w:rPr>
        <w:t>4.</w:t>
      </w:r>
      <w:r>
        <w:rPr>
          <w:rFonts w:ascii="Traditional Arabic" w:eastAsia="Times New Roman" w:hAnsi="Traditional Arabic" w:cs="Traditional Arabic"/>
          <w:sz w:val="14"/>
          <w:szCs w:val="14"/>
          <w:rtl/>
        </w:rPr>
        <w:t xml:space="preserve">    </w:t>
      </w:r>
      <w:r>
        <w:rPr>
          <w:rFonts w:ascii="Traditional Arabic" w:eastAsia="Times New Roman" w:hAnsi="Traditional Arabic" w:cs="Traditional Arabic"/>
          <w:sz w:val="32"/>
          <w:szCs w:val="32"/>
          <w:rtl/>
        </w:rPr>
        <w:t>ظهور صناديق سيادية جديدة (تايوان، البرازيل، الصين، اليابان......</w:t>
      </w:r>
      <w:proofErr w:type="spellStart"/>
      <w:r>
        <w:rPr>
          <w:rFonts w:ascii="Traditional Arabic" w:eastAsia="Times New Roman" w:hAnsi="Traditional Arabic" w:cs="Traditional Arabic"/>
          <w:sz w:val="32"/>
          <w:szCs w:val="32"/>
          <w:rtl/>
        </w:rPr>
        <w:t>إلخ</w:t>
      </w:r>
      <w:proofErr w:type="spellEnd"/>
    </w:p>
    <w:p w:rsidR="00B52C5C" w:rsidRPr="00966167" w:rsidRDefault="005B2D79" w:rsidP="00B52C5C">
      <w:pPr>
        <w:jc w:val="both"/>
        <w:rPr>
          <w:rFonts w:ascii="Traditional Arabic" w:eastAsia="Times New Roman" w:hAnsi="Traditional Arabic" w:cs="Traditional Arabic"/>
          <w:rtl/>
        </w:rPr>
      </w:pPr>
      <w:r>
        <w:rPr>
          <w:rFonts w:ascii="Traditional Arabic" w:eastAsia="Times New Roman" w:hAnsi="Traditional Arabic" w:cs="Traditional Arabic"/>
          <w:b/>
          <w:bCs/>
          <w:sz w:val="32"/>
          <w:szCs w:val="32"/>
          <w:rtl/>
        </w:rPr>
        <w:t xml:space="preserve">أهمية </w:t>
      </w:r>
      <w:r w:rsidR="00B52C5C" w:rsidRPr="00966167">
        <w:rPr>
          <w:rFonts w:ascii="Traditional Arabic" w:eastAsia="Times New Roman" w:hAnsi="Traditional Arabic" w:cs="Traditional Arabic"/>
          <w:b/>
          <w:bCs/>
          <w:sz w:val="32"/>
          <w:szCs w:val="32"/>
          <w:rtl/>
        </w:rPr>
        <w:t xml:space="preserve">الصناديق </w:t>
      </w:r>
      <w:r w:rsidR="00485F25">
        <w:rPr>
          <w:rFonts w:ascii="Traditional Arabic" w:eastAsia="Times New Roman" w:hAnsi="Traditional Arabic" w:cs="Traditional Arabic"/>
          <w:b/>
          <w:bCs/>
          <w:sz w:val="32"/>
          <w:szCs w:val="32"/>
          <w:rtl/>
        </w:rPr>
        <w:t>السياديَّة</w:t>
      </w:r>
      <w:r w:rsidR="00B52C5C" w:rsidRPr="00966167">
        <w:rPr>
          <w:rFonts w:ascii="Traditional Arabic" w:eastAsia="Times New Roman" w:hAnsi="Traditional Arabic" w:cs="Traditional Arabic"/>
          <w:b/>
          <w:bCs/>
          <w:sz w:val="32"/>
          <w:szCs w:val="32"/>
          <w:rtl/>
        </w:rPr>
        <w:t xml:space="preserve"> في النظام المالي العالمي</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تتوفر الصناديق على أكثر من </w:t>
      </w:r>
      <w:r w:rsidRPr="005202E9">
        <w:rPr>
          <w:rFonts w:ascii="Traditional Arabic" w:eastAsia="Times New Roman" w:hAnsi="Traditional Arabic" w:cs="Traditional Arabic"/>
          <w:sz w:val="24"/>
          <w:szCs w:val="24"/>
          <w:rtl/>
        </w:rPr>
        <w:t>3</w:t>
      </w:r>
      <w:r w:rsidRPr="00966167">
        <w:rPr>
          <w:rFonts w:ascii="Traditional Arabic" w:eastAsia="Times New Roman" w:hAnsi="Traditional Arabic" w:cs="Traditional Arabic"/>
          <w:sz w:val="32"/>
          <w:szCs w:val="32"/>
          <w:rtl/>
        </w:rPr>
        <w:t xml:space="preserve"> تريليون دولار في منتصف </w:t>
      </w:r>
      <w:r w:rsidRPr="005202E9">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rPr>
        <w:t xml:space="preserve"> مقابل </w:t>
      </w:r>
      <w:r w:rsidRPr="005202E9">
        <w:rPr>
          <w:rFonts w:ascii="Traditional Arabic" w:eastAsia="Times New Roman" w:hAnsi="Traditional Arabic" w:cs="Traditional Arabic"/>
          <w:sz w:val="24"/>
          <w:szCs w:val="24"/>
          <w:rtl/>
        </w:rPr>
        <w:t>500</w:t>
      </w:r>
      <w:r w:rsidRPr="00966167">
        <w:rPr>
          <w:rFonts w:ascii="Traditional Arabic" w:eastAsia="Times New Roman" w:hAnsi="Traditional Arabic" w:cs="Traditional Arabic"/>
          <w:sz w:val="32"/>
          <w:szCs w:val="32"/>
          <w:rtl/>
        </w:rPr>
        <w:t xml:space="preserve"> مليار في بداية سنوات التسعينيات من القرن العشرين. ويقدر لها حسب بعض السيناريوهات النم</w:t>
      </w:r>
      <w:r w:rsidR="00E72C1D">
        <w:rPr>
          <w:rFonts w:ascii="Traditional Arabic" w:eastAsia="Times New Roman" w:hAnsi="Traditional Arabic" w:cs="Traditional Arabic"/>
          <w:sz w:val="32"/>
          <w:szCs w:val="32"/>
          <w:rtl/>
        </w:rPr>
        <w:t>و بمعدلات سنوية تتراوح ما بين</w:t>
      </w:r>
      <w:r w:rsidRPr="00966167">
        <w:rPr>
          <w:rFonts w:ascii="Traditional Arabic" w:eastAsia="Times New Roman" w:hAnsi="Traditional Arabic" w:cs="Traditional Arabic"/>
          <w:sz w:val="32"/>
          <w:szCs w:val="32"/>
          <w:rtl/>
        </w:rPr>
        <w:t xml:space="preserve">  </w:t>
      </w:r>
      <w:r w:rsidRPr="005202E9">
        <w:rPr>
          <w:rFonts w:ascii="Traditional Arabic" w:eastAsia="Times New Roman" w:hAnsi="Traditional Arabic" w:cs="Traditional Arabic"/>
          <w:sz w:val="24"/>
          <w:szCs w:val="24"/>
          <w:rtl/>
        </w:rPr>
        <w:t>10</w:t>
      </w:r>
      <w:r w:rsidR="00E72C1D" w:rsidRPr="005202E9">
        <w:rPr>
          <w:rFonts w:ascii="Traditional Arabic" w:eastAsia="Times New Roman" w:hAnsi="Traditional Arabic" w:cs="Traditional Arabic"/>
          <w:sz w:val="24"/>
          <w:szCs w:val="24"/>
          <w:rtl/>
        </w:rPr>
        <w:t xml:space="preserve"> %</w:t>
      </w:r>
      <w:r w:rsidR="00E72C1D">
        <w:rPr>
          <w:rFonts w:ascii="Traditional Arabic" w:eastAsia="Times New Roman" w:hAnsi="Traditional Arabic" w:cs="Traditional Arabic"/>
          <w:sz w:val="32"/>
          <w:szCs w:val="32"/>
          <w:rtl/>
        </w:rPr>
        <w:t xml:space="preserve"> و</w:t>
      </w:r>
      <w:r w:rsidRPr="00966167">
        <w:rPr>
          <w:rFonts w:ascii="Traditional Arabic" w:eastAsia="Times New Roman" w:hAnsi="Traditional Arabic" w:cs="Traditional Arabic"/>
          <w:sz w:val="32"/>
          <w:szCs w:val="32"/>
          <w:rtl/>
        </w:rPr>
        <w:t xml:space="preserve"> </w:t>
      </w:r>
      <w:r w:rsidRPr="005202E9">
        <w:rPr>
          <w:rFonts w:ascii="Traditional Arabic" w:eastAsia="Times New Roman" w:hAnsi="Traditional Arabic" w:cs="Traditional Arabic"/>
          <w:sz w:val="24"/>
          <w:szCs w:val="24"/>
          <w:rtl/>
        </w:rPr>
        <w:t>20 %</w:t>
      </w:r>
      <w:r w:rsidRPr="00966167">
        <w:rPr>
          <w:rFonts w:ascii="Traditional Arabic" w:eastAsia="Times New Roman" w:hAnsi="Traditional Arabic" w:cs="Traditional Arabic"/>
          <w:sz w:val="32"/>
          <w:szCs w:val="32"/>
          <w:rtl/>
        </w:rPr>
        <w:t xml:space="preserve">. وهذا ما يسمح لها بأن تتراوح أصولها في آفاق </w:t>
      </w:r>
      <w:r w:rsidRPr="005202E9">
        <w:rPr>
          <w:rFonts w:ascii="Traditional Arabic" w:eastAsia="Times New Roman" w:hAnsi="Traditional Arabic" w:cs="Traditional Arabic"/>
          <w:sz w:val="24"/>
          <w:szCs w:val="24"/>
          <w:rtl/>
        </w:rPr>
        <w:t>2012</w:t>
      </w:r>
      <w:r w:rsidRPr="00966167">
        <w:rPr>
          <w:rFonts w:ascii="Traditional Arabic" w:eastAsia="Times New Roman" w:hAnsi="Traditional Arabic" w:cs="Traditional Arabic"/>
          <w:sz w:val="32"/>
          <w:szCs w:val="32"/>
          <w:rtl/>
        </w:rPr>
        <w:t xml:space="preserve"> ما بين</w:t>
      </w:r>
      <w:r w:rsidRPr="005202E9">
        <w:rPr>
          <w:rFonts w:ascii="Traditional Arabic" w:eastAsia="Times New Roman" w:hAnsi="Traditional Arabic" w:cs="Traditional Arabic"/>
          <w:sz w:val="24"/>
          <w:szCs w:val="24"/>
          <w:rtl/>
        </w:rPr>
        <w:t xml:space="preserve"> 5-</w:t>
      </w:r>
      <w:r w:rsidR="00E72C1D" w:rsidRPr="005202E9">
        <w:rPr>
          <w:rFonts w:ascii="Traditional Arabic" w:eastAsia="Times New Roman" w:hAnsi="Traditional Arabic" w:cs="Traditional Arabic" w:hint="cs"/>
          <w:sz w:val="24"/>
          <w:szCs w:val="24"/>
          <w:rtl/>
        </w:rPr>
        <w:t xml:space="preserve"> </w:t>
      </w:r>
      <w:r w:rsidRPr="005202E9">
        <w:rPr>
          <w:rFonts w:ascii="Traditional Arabic" w:eastAsia="Times New Roman" w:hAnsi="Traditional Arabic" w:cs="Traditional Arabic"/>
          <w:sz w:val="24"/>
          <w:szCs w:val="24"/>
          <w:rtl/>
        </w:rPr>
        <w:t>10</w:t>
      </w:r>
      <w:r w:rsidRPr="00966167">
        <w:rPr>
          <w:rFonts w:ascii="Traditional Arabic" w:eastAsia="Times New Roman" w:hAnsi="Traditional Arabic" w:cs="Traditional Arabic"/>
          <w:sz w:val="32"/>
          <w:szCs w:val="32"/>
          <w:rtl/>
        </w:rPr>
        <w:t>تريليون دولار</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حتى وإن كانت متغيرات الأزمة المالية العالمية تبقي السيناريو الأقل أقرب إلى الواقع نتيجة تراجع أسعار المواد الأولية وعلى رأسها البترول. ويشير تقرير نشرته مؤسسة ستانلي مورغان إلى أن أصول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ستصل في آفاق </w:t>
      </w:r>
      <w:r w:rsidRPr="005202E9">
        <w:rPr>
          <w:rFonts w:ascii="Traditional Arabic" w:eastAsia="Times New Roman" w:hAnsi="Traditional Arabic" w:cs="Traditional Arabic"/>
          <w:sz w:val="24"/>
          <w:szCs w:val="24"/>
          <w:rtl/>
        </w:rPr>
        <w:t>2015</w:t>
      </w:r>
      <w:r w:rsidRPr="00966167">
        <w:rPr>
          <w:rFonts w:ascii="Traditional Arabic" w:eastAsia="Times New Roman" w:hAnsi="Traditional Arabic" w:cs="Traditional Arabic"/>
          <w:sz w:val="32"/>
          <w:szCs w:val="32"/>
          <w:rtl/>
        </w:rPr>
        <w:t xml:space="preserve"> إلى </w:t>
      </w:r>
      <w:r w:rsidRPr="005202E9">
        <w:rPr>
          <w:rFonts w:ascii="Traditional Arabic" w:eastAsia="Times New Roman" w:hAnsi="Traditional Arabic" w:cs="Traditional Arabic"/>
          <w:sz w:val="24"/>
          <w:szCs w:val="24"/>
          <w:rtl/>
        </w:rPr>
        <w:t>12</w:t>
      </w:r>
      <w:r w:rsidRPr="00966167">
        <w:rPr>
          <w:rFonts w:ascii="Traditional Arabic" w:eastAsia="Times New Roman" w:hAnsi="Traditional Arabic" w:cs="Traditional Arabic"/>
          <w:sz w:val="32"/>
          <w:szCs w:val="32"/>
          <w:rtl/>
        </w:rPr>
        <w:t xml:space="preserve"> تريليون دولار(برينت سيفين، </w:t>
      </w:r>
      <w:r w:rsidRPr="005202E9">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rPr>
        <w:t>)</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lang w:bidi="ar-SY"/>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ورغم هذا الحجم المالي الكبير للصناديق </w:t>
      </w:r>
      <w:r w:rsidR="00485F25">
        <w:rPr>
          <w:rFonts w:ascii="Traditional Arabic" w:eastAsia="Times New Roman" w:hAnsi="Traditional Arabic" w:cs="Traditional Arabic"/>
          <w:sz w:val="32"/>
          <w:szCs w:val="32"/>
          <w:rtl/>
        </w:rPr>
        <w:t>السياديَّة</w:t>
      </w:r>
      <w:r w:rsidR="00E72C1D">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فإنها تبقى متواضعة بالمقارنة مع بعض الهيئات المالية العاملة على مستوى الأسواق المالية العالمية</w:t>
      </w:r>
      <w:r w:rsidRPr="00966167">
        <w:rPr>
          <w:rFonts w:ascii="Traditional Arabic" w:eastAsia="Times New Roman" w:hAnsi="Traditional Arabic" w:cs="Traditional Arabic"/>
          <w:sz w:val="32"/>
          <w:szCs w:val="32"/>
        </w:rPr>
        <w:t>:</w:t>
      </w:r>
    </w:p>
    <w:p w:rsidR="00B52C5C" w:rsidRPr="00966167" w:rsidRDefault="00B52C5C" w:rsidP="00B52C5C">
      <w:pPr>
        <w:ind w:left="885"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1.</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تمثل</w:t>
      </w:r>
      <w:r w:rsidRPr="005202E9">
        <w:rPr>
          <w:rFonts w:ascii="Traditional Arabic" w:eastAsia="Times New Roman" w:hAnsi="Traditional Arabic" w:cs="Traditional Arabic"/>
          <w:sz w:val="24"/>
          <w:szCs w:val="24"/>
          <w:rtl/>
        </w:rPr>
        <w:t xml:space="preserve"> 1/6 </w:t>
      </w:r>
      <w:r w:rsidRPr="00966167">
        <w:rPr>
          <w:rFonts w:ascii="Traditional Arabic" w:eastAsia="Times New Roman" w:hAnsi="Traditional Arabic" w:cs="Traditional Arabic"/>
          <w:sz w:val="32"/>
          <w:szCs w:val="32"/>
          <w:rtl/>
        </w:rPr>
        <w:t xml:space="preserve"> من الأصول المدارة من قبل شركات  التأمين التي تدير أكثر من </w:t>
      </w:r>
      <w:r w:rsidRPr="005202E9">
        <w:rPr>
          <w:rFonts w:ascii="Traditional Arabic" w:eastAsia="Times New Roman" w:hAnsi="Traditional Arabic" w:cs="Traditional Arabic"/>
          <w:sz w:val="24"/>
          <w:szCs w:val="24"/>
          <w:rtl/>
        </w:rPr>
        <w:t>16</w:t>
      </w:r>
      <w:r w:rsidRPr="00966167">
        <w:rPr>
          <w:rFonts w:ascii="Traditional Arabic" w:eastAsia="Times New Roman" w:hAnsi="Traditional Arabic" w:cs="Traditional Arabic"/>
          <w:sz w:val="32"/>
          <w:szCs w:val="32"/>
          <w:rtl/>
        </w:rPr>
        <w:t xml:space="preserve"> تريليون دولار</w:t>
      </w:r>
      <w:r w:rsidRPr="00966167">
        <w:rPr>
          <w:rFonts w:ascii="Traditional Arabic" w:eastAsia="Times New Roman" w:hAnsi="Traditional Arabic" w:cs="Traditional Arabic"/>
          <w:sz w:val="32"/>
          <w:szCs w:val="32"/>
        </w:rPr>
        <w:t>.</w:t>
      </w:r>
    </w:p>
    <w:p w:rsidR="00B52C5C" w:rsidRPr="00966167" w:rsidRDefault="00B52C5C" w:rsidP="00B52C5C">
      <w:pPr>
        <w:ind w:left="885"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2.</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 xml:space="preserve">تمثل </w:t>
      </w:r>
      <w:r w:rsidRPr="005202E9">
        <w:rPr>
          <w:rFonts w:ascii="Traditional Arabic" w:eastAsia="Times New Roman" w:hAnsi="Traditional Arabic" w:cs="Traditional Arabic"/>
          <w:sz w:val="24"/>
          <w:szCs w:val="24"/>
          <w:rtl/>
        </w:rPr>
        <w:t xml:space="preserve">1/7  </w:t>
      </w:r>
      <w:r w:rsidRPr="00966167">
        <w:rPr>
          <w:rFonts w:ascii="Traditional Arabic" w:eastAsia="Times New Roman" w:hAnsi="Traditional Arabic" w:cs="Traditional Arabic"/>
          <w:sz w:val="32"/>
          <w:szCs w:val="32"/>
          <w:rtl/>
        </w:rPr>
        <w:t xml:space="preserve">من الأصول المدارة من قبل صناديق المعاشات والتي تصل إلى أكثر  من </w:t>
      </w:r>
      <w:r w:rsidRPr="005202E9">
        <w:rPr>
          <w:rFonts w:ascii="Traditional Arabic" w:eastAsia="Times New Roman" w:hAnsi="Traditional Arabic" w:cs="Traditional Arabic"/>
          <w:sz w:val="24"/>
          <w:szCs w:val="24"/>
          <w:rtl/>
        </w:rPr>
        <w:t>15</w:t>
      </w:r>
      <w:r w:rsidRPr="00966167">
        <w:rPr>
          <w:rFonts w:ascii="Traditional Arabic" w:eastAsia="Times New Roman" w:hAnsi="Traditional Arabic" w:cs="Traditional Arabic"/>
          <w:sz w:val="32"/>
          <w:szCs w:val="32"/>
          <w:rtl/>
        </w:rPr>
        <w:t xml:space="preserve"> تريليون دولار</w:t>
      </w:r>
      <w:r w:rsidRPr="00966167">
        <w:rPr>
          <w:rFonts w:ascii="Traditional Arabic" w:eastAsia="Times New Roman" w:hAnsi="Traditional Arabic" w:cs="Traditional Arabic"/>
          <w:sz w:val="32"/>
          <w:szCs w:val="32"/>
        </w:rPr>
        <w:t xml:space="preserve"> .</w:t>
      </w:r>
    </w:p>
    <w:p w:rsidR="00B52C5C" w:rsidRPr="00966167" w:rsidRDefault="00B52C5C" w:rsidP="00B52C5C">
      <w:pPr>
        <w:ind w:left="885"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3.</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تمثل</w:t>
      </w:r>
      <w:r w:rsidRPr="005202E9">
        <w:rPr>
          <w:rFonts w:ascii="Traditional Arabic" w:eastAsia="Times New Roman" w:hAnsi="Traditional Arabic" w:cs="Traditional Arabic"/>
          <w:sz w:val="24"/>
          <w:szCs w:val="24"/>
          <w:rtl/>
        </w:rPr>
        <w:t xml:space="preserve">1/2 </w:t>
      </w:r>
      <w:r w:rsidRPr="00966167">
        <w:rPr>
          <w:rFonts w:ascii="Traditional Arabic" w:eastAsia="Times New Roman" w:hAnsi="Traditional Arabic" w:cs="Traditional Arabic"/>
          <w:sz w:val="32"/>
          <w:szCs w:val="32"/>
          <w:rtl/>
        </w:rPr>
        <w:t>من احتياط</w:t>
      </w:r>
      <w:r w:rsidR="00E72C1D">
        <w:rPr>
          <w:rFonts w:ascii="Traditional Arabic" w:eastAsia="Times New Roman" w:hAnsi="Traditional Arabic" w:cs="Traditional Arabic"/>
          <w:sz w:val="32"/>
          <w:szCs w:val="32"/>
          <w:rtl/>
        </w:rPr>
        <w:t>ات الصرف العالمية التي تصل إل</w:t>
      </w:r>
      <w:r w:rsidR="00E72C1D">
        <w:rPr>
          <w:rFonts w:ascii="Traditional Arabic" w:eastAsia="Times New Roman" w:hAnsi="Traditional Arabic" w:cs="Traditional Arabic" w:hint="cs"/>
          <w:sz w:val="32"/>
          <w:szCs w:val="32"/>
          <w:rtl/>
        </w:rPr>
        <w:t>ى</w:t>
      </w:r>
      <w:r w:rsidR="00E72C1D">
        <w:rPr>
          <w:rFonts w:ascii="Traditional Arabic" w:eastAsia="Times New Roman" w:hAnsi="Traditional Arabic" w:cs="Traditional Arabic"/>
          <w:sz w:val="32"/>
          <w:szCs w:val="32"/>
          <w:rtl/>
        </w:rPr>
        <w:t> </w:t>
      </w:r>
      <w:r w:rsidR="00E72C1D" w:rsidRPr="005202E9">
        <w:rPr>
          <w:rFonts w:ascii="Traditional Arabic" w:eastAsia="Times New Roman" w:hAnsi="Traditional Arabic" w:cs="Traditional Arabic" w:hint="cs"/>
          <w:sz w:val="24"/>
          <w:szCs w:val="24"/>
          <w:rtl/>
        </w:rPr>
        <w:t>7</w:t>
      </w:r>
      <w:r w:rsidR="00E72C1D">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تريليون دولار</w:t>
      </w:r>
      <w:r w:rsidRPr="00966167">
        <w:rPr>
          <w:rFonts w:ascii="Traditional Arabic" w:eastAsia="Times New Roman" w:hAnsi="Traditional Arabic" w:cs="Traditional Arabic"/>
          <w:sz w:val="32"/>
          <w:szCs w:val="32"/>
        </w:rPr>
        <w:t>.</w:t>
      </w:r>
    </w:p>
    <w:p w:rsidR="005B2D79" w:rsidRPr="00966167" w:rsidRDefault="00B52C5C" w:rsidP="0066658A">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وهذا ما يجعل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المرتبة الرابعة من حيث الأهمية، رغم كونها تحوز على ضعف الأصول المدارة من قبل صناديق المضاربة (</w:t>
      </w:r>
      <w:r w:rsidRPr="005202E9">
        <w:rPr>
          <w:rFonts w:ascii="Traditional Arabic" w:eastAsia="Times New Roman" w:hAnsi="Traditional Arabic" w:cs="Traditional Arabic"/>
          <w:sz w:val="24"/>
          <w:szCs w:val="24"/>
          <w:rtl/>
        </w:rPr>
        <w:t>1.5-2</w:t>
      </w:r>
      <w:r w:rsidRPr="00966167">
        <w:rPr>
          <w:rFonts w:ascii="Traditional Arabic" w:eastAsia="Times New Roman" w:hAnsi="Traditional Arabic" w:cs="Traditional Arabic"/>
          <w:sz w:val="32"/>
          <w:szCs w:val="32"/>
          <w:rtl/>
        </w:rPr>
        <w:t xml:space="preserve"> تريليون دولار) .وأكثر </w:t>
      </w:r>
      <w:r w:rsidRPr="005202E9">
        <w:rPr>
          <w:rFonts w:ascii="Traditional Arabic" w:eastAsia="Times New Roman" w:hAnsi="Traditional Arabic" w:cs="Traditional Arabic"/>
          <w:sz w:val="24"/>
          <w:szCs w:val="24"/>
          <w:rtl/>
        </w:rPr>
        <w:t>من10</w:t>
      </w:r>
      <w:r w:rsidRPr="00966167">
        <w:rPr>
          <w:rFonts w:ascii="Traditional Arabic" w:eastAsia="Times New Roman" w:hAnsi="Traditional Arabic" w:cs="Traditional Arabic"/>
          <w:sz w:val="32"/>
          <w:szCs w:val="32"/>
          <w:rtl/>
        </w:rPr>
        <w:t xml:space="preserve">  أضعاف الأموال القابلة للإقراض من قبل صندوق النقد الدولي والتي تصل إلى </w:t>
      </w:r>
      <w:r w:rsidRPr="005202E9">
        <w:rPr>
          <w:rFonts w:ascii="Traditional Arabic" w:eastAsia="Times New Roman" w:hAnsi="Traditional Arabic" w:cs="Traditional Arabic"/>
          <w:sz w:val="24"/>
          <w:szCs w:val="24"/>
          <w:rtl/>
        </w:rPr>
        <w:t>250</w:t>
      </w:r>
      <w:r w:rsidRPr="00966167">
        <w:rPr>
          <w:rFonts w:ascii="Traditional Arabic" w:eastAsia="Times New Roman" w:hAnsi="Traditional Arabic" w:cs="Traditional Arabic"/>
          <w:sz w:val="32"/>
          <w:szCs w:val="32"/>
          <w:rtl/>
        </w:rPr>
        <w:t xml:space="preserve"> مليار دولار</w:t>
      </w:r>
      <w:r w:rsidR="0066658A">
        <w:rPr>
          <w:rFonts w:ascii="Traditional Arabic" w:eastAsia="Times New Roman" w:hAnsi="Traditional Arabic" w:cs="Traditional Arabic" w:hint="cs"/>
          <w:sz w:val="32"/>
          <w:szCs w:val="32"/>
          <w:rtl/>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tl/>
        </w:rPr>
        <w:t xml:space="preserve">مساهمة الصناديق </w:t>
      </w:r>
      <w:r w:rsidR="00485F25">
        <w:rPr>
          <w:rFonts w:ascii="Traditional Arabic" w:eastAsia="Times New Roman" w:hAnsi="Traditional Arabic" w:cs="Traditional Arabic"/>
          <w:b/>
          <w:bCs/>
          <w:sz w:val="32"/>
          <w:szCs w:val="32"/>
          <w:rtl/>
        </w:rPr>
        <w:t>السياديَّة</w:t>
      </w:r>
      <w:r w:rsidRPr="00966167">
        <w:rPr>
          <w:rFonts w:ascii="Traditional Arabic" w:eastAsia="Times New Roman" w:hAnsi="Traditional Arabic" w:cs="Traditional Arabic"/>
          <w:b/>
          <w:bCs/>
          <w:sz w:val="32"/>
          <w:szCs w:val="32"/>
          <w:rtl/>
        </w:rPr>
        <w:t xml:space="preserve"> في النظام المالي العالمي</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ويمكن لهذه الصناديق وهي بهذا الحجم المساهمة في النظام المالي العالمي على الشكل التالي</w:t>
      </w:r>
      <w:r w:rsidRPr="00966167">
        <w:rPr>
          <w:rFonts w:ascii="Traditional Arabic" w:eastAsia="Times New Roman" w:hAnsi="Traditional Arabic" w:cs="Traditional Arabic"/>
          <w:sz w:val="32"/>
          <w:szCs w:val="32"/>
        </w:rPr>
        <w:t xml:space="preserve"> :</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lastRenderedPageBreak/>
        <w:t>1.</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قدرتها على أداء دور الاحتياط بالنسبة للدول المالكة لها، بتحويل جزء من عوائدها لصالح الأجيال المولودة بعد نضوب المواد الأولية.</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2.</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سماحها بتنويع مصادر الناتج المحلي الخام بتطوير أنشطة جديدة كما هو حال صناديق أبو ظبي، دبي بتطويرها للسياحة وصناعات التسلية والأنشطة الأخرى المرتبطة بالمواد الأولية</w:t>
      </w:r>
      <w:r w:rsidRPr="00966167">
        <w:rPr>
          <w:rFonts w:ascii="Traditional Arabic" w:eastAsia="Times New Roman" w:hAnsi="Traditional Arabic" w:cs="Traditional Arabic"/>
          <w:sz w:val="32"/>
          <w:szCs w:val="32"/>
        </w:rPr>
        <w:t>.</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3.</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توفيرها لموارد دائمة ومنتظمة للدول المالكة لها تكون غير مرتبطة بالمواد الأولية التي مهما بلغ مخزنها تبقى قابلة للنضوب.</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4.</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قيامها بدور استقراري بامتصاص الصدمات الناجمة عن الانخفاض المؤقت في أسعار المواد الأولية، فيسمح تكوين صندوق سيادي بتوفير مداخيل سنوية غير مرتبطة بأسعار المواد الأولية ، وتعمل على تغطية الصدمات</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الاقتصادية السلبية. فلقد استطاع صندوق الأجيال القادمة في الكويت مثلا</w:t>
      </w:r>
      <w:r w:rsidR="00D251A6">
        <w:rPr>
          <w:rFonts w:ascii="Traditional Arabic" w:eastAsia="Times New Roman" w:hAnsi="Traditional Arabic" w:cs="Traditional Arabic" w:hint="cs"/>
          <w:sz w:val="32"/>
          <w:szCs w:val="32"/>
          <w:rtl/>
        </w:rPr>
        <w:t>ً</w:t>
      </w:r>
      <w:r w:rsidR="00D251A6">
        <w:rPr>
          <w:rFonts w:ascii="Traditional Arabic" w:eastAsia="Times New Roman" w:hAnsi="Traditional Arabic" w:cs="Traditional Arabic"/>
          <w:sz w:val="32"/>
          <w:szCs w:val="32"/>
          <w:rtl/>
        </w:rPr>
        <w:t xml:space="preserve"> تمويل إعادة </w:t>
      </w:r>
      <w:r w:rsidR="00D251A6">
        <w:rPr>
          <w:rFonts w:ascii="Traditional Arabic" w:eastAsia="Times New Roman" w:hAnsi="Traditional Arabic" w:cs="Traditional Arabic" w:hint="cs"/>
          <w:sz w:val="32"/>
          <w:szCs w:val="32"/>
          <w:rtl/>
        </w:rPr>
        <w:t>إ</w:t>
      </w:r>
      <w:r w:rsidRPr="00966167">
        <w:rPr>
          <w:rFonts w:ascii="Traditional Arabic" w:eastAsia="Times New Roman" w:hAnsi="Traditional Arabic" w:cs="Traditional Arabic"/>
          <w:sz w:val="32"/>
          <w:szCs w:val="32"/>
          <w:rtl/>
        </w:rPr>
        <w:t>عمار الكويت بعد الغزو العراقي.</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5.</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المساهمة في تنمية الدول المستقبلة لاستثمارات الصناديق، بتمويل الهياكل القاعدية. وهذا ما دفع رئيس البنك العالمي إلى الاقتراح على هذه الصناديق استثمار 1%من أصولها في المؤسسات الأفريقية بالتعاون مع البنك.</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6.</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المحافظة على الوظائف التي توفرها الشركات بدعمها لرؤوس أموال الشركات المتعثرة.</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7.</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المساهمة في زيادة تكامل الاقتصاد العالمي وزيادة المشاركة وربط المصالح</w:t>
      </w:r>
      <w:r w:rsidRPr="00966167">
        <w:rPr>
          <w:rFonts w:ascii="Traditional Arabic" w:eastAsia="Times New Roman" w:hAnsi="Traditional Arabic" w:cs="Traditional Arabic"/>
          <w:sz w:val="32"/>
          <w:szCs w:val="32"/>
        </w:rPr>
        <w:t>.</w:t>
      </w:r>
    </w:p>
    <w:p w:rsidR="00B52C5C" w:rsidRPr="00966167" w:rsidRDefault="00B52C5C" w:rsidP="00B52C5C">
      <w:pPr>
        <w:ind w:left="720" w:hanging="360"/>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8.</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المساهمة في تحقيق مزيد من الاستقرار الاقتصادي، في الدول المنتمية إليها بتنويع الاقتصاد بالتوسع في الأنشطة غير النفطية خاصة؛ بما يعمل على تقليص الاعتماد على واردات السلع الاستهلاكية، ومن ثم تأثيرات التضخم المستورد</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tl/>
        </w:rPr>
        <w:t xml:space="preserve">دور الصناديق </w:t>
      </w:r>
      <w:r w:rsidR="00485F25">
        <w:rPr>
          <w:rFonts w:ascii="Traditional Arabic" w:eastAsia="Times New Roman" w:hAnsi="Traditional Arabic" w:cs="Traditional Arabic"/>
          <w:b/>
          <w:bCs/>
          <w:sz w:val="32"/>
          <w:szCs w:val="32"/>
          <w:rtl/>
        </w:rPr>
        <w:t>السياديَّة</w:t>
      </w:r>
      <w:r w:rsidRPr="00966167">
        <w:rPr>
          <w:rFonts w:ascii="Traditional Arabic" w:eastAsia="Times New Roman" w:hAnsi="Traditional Arabic" w:cs="Traditional Arabic"/>
          <w:b/>
          <w:bCs/>
          <w:sz w:val="32"/>
          <w:szCs w:val="32"/>
          <w:rtl/>
        </w:rPr>
        <w:t xml:space="preserve"> في الاقتصاد </w:t>
      </w:r>
    </w:p>
    <w:p w:rsidR="00B52C5C" w:rsidRPr="0066658A" w:rsidRDefault="00B52C5C" w:rsidP="0066658A">
      <w:pPr>
        <w:jc w:val="both"/>
        <w:rPr>
          <w:rFonts w:ascii="Traditional Arabic" w:eastAsia="Times New Roman" w:hAnsi="Traditional Arabic" w:cs="Traditional Arabic"/>
          <w:sz w:val="32"/>
          <w:szCs w:val="32"/>
          <w:rtl/>
        </w:rPr>
      </w:pPr>
      <w:r w:rsidRPr="00966167">
        <w:rPr>
          <w:rFonts w:ascii="Traditional Arabic" w:eastAsia="Times New Roman" w:hAnsi="Traditional Arabic" w:cs="Traditional Arabic"/>
          <w:sz w:val="32"/>
          <w:szCs w:val="32"/>
          <w:rtl/>
        </w:rPr>
        <w:t>تفترض السياسة الاقتصادية الرشيدة استثمار الأموال العامة بصورة منتجة بدلا</w:t>
      </w:r>
      <w:r w:rsidR="00D251A6">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من إنفاقها في ميادين الأبهة أو وضعها في حسابات مصرفية لا تدر دخولا</w:t>
      </w:r>
      <w:r w:rsidR="00D251A6">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حقيقية بسبب هبوط أسعار الفائدة وارتفاع معدلات التضخم. وتتجلى أهمية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حصول الدولة على دخول لتغطية عجزها المالي عندما تهبط إيراداتها وترتفع نفقاتها لسبب أو لآخر</w:t>
      </w:r>
      <w:r w:rsidRPr="00966167">
        <w:rPr>
          <w:rFonts w:ascii="Traditional Arabic" w:eastAsia="Times New Roman" w:hAnsi="Traditional Arabic" w:cs="Traditional Arabic"/>
          <w:sz w:val="32"/>
          <w:szCs w:val="32"/>
        </w:rPr>
        <w:t>.</w:t>
      </w:r>
      <w:r w:rsidRPr="0066658A">
        <w:rPr>
          <w:rFonts w:ascii="Traditional Arabic" w:eastAsia="Times New Roman" w:hAnsi="Traditional Arabic" w:cs="Traditional Arabic"/>
          <w:sz w:val="30"/>
          <w:szCs w:val="30"/>
          <w:rtl/>
        </w:rPr>
        <w:t xml:space="preserve">طيلة الفترة الواقعة بين 1990 و2004 سجلت ميزانية الإمارات </w:t>
      </w:r>
      <w:r w:rsidRPr="0066658A">
        <w:rPr>
          <w:rFonts w:ascii="Traditional Arabic" w:eastAsia="Times New Roman" w:hAnsi="Traditional Arabic" w:cs="Traditional Arabic"/>
          <w:sz w:val="30"/>
          <w:szCs w:val="30"/>
          <w:rtl/>
        </w:rPr>
        <w:lastRenderedPageBreak/>
        <w:t>عجزا</w:t>
      </w:r>
      <w:r w:rsidR="00D251A6" w:rsidRPr="0066658A">
        <w:rPr>
          <w:rFonts w:ascii="Traditional Arabic" w:eastAsia="Times New Roman" w:hAnsi="Traditional Arabic" w:cs="Traditional Arabic" w:hint="cs"/>
          <w:sz w:val="30"/>
          <w:szCs w:val="30"/>
          <w:rtl/>
        </w:rPr>
        <w:t>ً</w:t>
      </w:r>
      <w:r w:rsidRPr="0066658A">
        <w:rPr>
          <w:rFonts w:ascii="Traditional Arabic" w:eastAsia="Times New Roman" w:hAnsi="Traditional Arabic" w:cs="Traditional Arabic"/>
          <w:sz w:val="30"/>
          <w:szCs w:val="30"/>
          <w:rtl/>
        </w:rPr>
        <w:t xml:space="preserve"> وصل إلى ثمانية مليارات دولار عام 1999، وفي التسعينيات لم تسجل ميزانية الكويت فائضا</w:t>
      </w:r>
      <w:r w:rsidR="00D251A6" w:rsidRPr="0066658A">
        <w:rPr>
          <w:rFonts w:ascii="Traditional Arabic" w:eastAsia="Times New Roman" w:hAnsi="Traditional Arabic" w:cs="Traditional Arabic" w:hint="cs"/>
          <w:sz w:val="30"/>
          <w:szCs w:val="30"/>
          <w:rtl/>
        </w:rPr>
        <w:t>ً</w:t>
      </w:r>
      <w:r w:rsidRPr="0066658A">
        <w:rPr>
          <w:rFonts w:ascii="Traditional Arabic" w:eastAsia="Times New Roman" w:hAnsi="Traditional Arabic" w:cs="Traditional Arabic"/>
          <w:sz w:val="30"/>
          <w:szCs w:val="30"/>
          <w:rtl/>
        </w:rPr>
        <w:t xml:space="preserve"> إلا في عام 1997، وحينذاك تم اللجوء إلى عدة وسائل لتغطية هذا العجز منها الاستفادة من أرباح الصناديق </w:t>
      </w:r>
      <w:r w:rsidR="00485F25" w:rsidRPr="0066658A">
        <w:rPr>
          <w:rFonts w:ascii="Traditional Arabic" w:eastAsia="Times New Roman" w:hAnsi="Traditional Arabic" w:cs="Traditional Arabic"/>
          <w:sz w:val="30"/>
          <w:szCs w:val="30"/>
          <w:rtl/>
        </w:rPr>
        <w:t>السياديَّة</w:t>
      </w:r>
      <w:r w:rsidRPr="0066658A">
        <w:rPr>
          <w:rFonts w:ascii="Traditional Arabic" w:eastAsia="Times New Roman" w:hAnsi="Traditional Arabic" w:cs="Traditional Arabic"/>
          <w:sz w:val="30"/>
          <w:szCs w:val="30"/>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أما إيجابيات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الدول المتلقية فهي كثيرة، إذ إن استثمارات هذه الصناديق تؤدي مباشرة إلى تحريك الاقتصاد المتلقي وإنعاشه</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كما تساهم في معالجة بعض المشاكل الاقتصادية والاجتماعية كالبطالة، فعلى سبيل المثال أدت مساهمة صندوق مبادلة الإماراتي بنسبة </w:t>
      </w:r>
      <w:r w:rsidRPr="005202E9">
        <w:rPr>
          <w:rFonts w:ascii="Traditional Arabic" w:eastAsia="Times New Roman" w:hAnsi="Traditional Arabic" w:cs="Traditional Arabic"/>
          <w:sz w:val="24"/>
          <w:szCs w:val="24"/>
          <w:rtl/>
        </w:rPr>
        <w:t xml:space="preserve">8.1% </w:t>
      </w:r>
      <w:r w:rsidRPr="00966167">
        <w:rPr>
          <w:rFonts w:ascii="Traditional Arabic" w:eastAsia="Times New Roman" w:hAnsi="Traditional Arabic" w:cs="Traditional Arabic"/>
          <w:sz w:val="32"/>
          <w:szCs w:val="32"/>
          <w:rtl/>
        </w:rPr>
        <w:t xml:space="preserve">من شركة أي أم </w:t>
      </w:r>
      <w:proofErr w:type="spellStart"/>
      <w:r w:rsidRPr="00966167">
        <w:rPr>
          <w:rFonts w:ascii="Traditional Arabic" w:eastAsia="Times New Roman" w:hAnsi="Traditional Arabic" w:cs="Traditional Arabic"/>
          <w:sz w:val="32"/>
          <w:szCs w:val="32"/>
          <w:rtl/>
        </w:rPr>
        <w:t>دي</w:t>
      </w:r>
      <w:proofErr w:type="spellEnd"/>
      <w:r w:rsidRPr="00966167">
        <w:rPr>
          <w:rFonts w:ascii="Traditional Arabic" w:eastAsia="Times New Roman" w:hAnsi="Traditional Arabic" w:cs="Traditional Arabic"/>
          <w:sz w:val="32"/>
          <w:szCs w:val="32"/>
          <w:rtl/>
        </w:rPr>
        <w:t xml:space="preserve"> الأميركية إلى توفير </w:t>
      </w:r>
      <w:r w:rsidRPr="005202E9">
        <w:rPr>
          <w:rFonts w:ascii="Traditional Arabic" w:eastAsia="Times New Roman" w:hAnsi="Traditional Arabic" w:cs="Traditional Arabic"/>
          <w:sz w:val="24"/>
          <w:szCs w:val="24"/>
          <w:rtl/>
        </w:rPr>
        <w:t>1400</w:t>
      </w:r>
      <w:r w:rsidRPr="00966167">
        <w:rPr>
          <w:rFonts w:ascii="Traditional Arabic" w:eastAsia="Times New Roman" w:hAnsi="Traditional Arabic" w:cs="Traditional Arabic"/>
          <w:sz w:val="32"/>
          <w:szCs w:val="32"/>
          <w:rtl/>
        </w:rPr>
        <w:t xml:space="preserve"> فرصة عمل مباشرة ترتبط بقطاع الإلكترونيات في هذه الشركة وحوالي </w:t>
      </w:r>
      <w:r w:rsidRPr="005202E9">
        <w:rPr>
          <w:rFonts w:ascii="Traditional Arabic" w:eastAsia="Times New Roman" w:hAnsi="Traditional Arabic" w:cs="Traditional Arabic"/>
          <w:sz w:val="24"/>
          <w:szCs w:val="24"/>
          <w:rtl/>
        </w:rPr>
        <w:t>5000</w:t>
      </w:r>
      <w:r w:rsidRPr="00966167">
        <w:rPr>
          <w:rFonts w:ascii="Traditional Arabic" w:eastAsia="Times New Roman" w:hAnsi="Traditional Arabic" w:cs="Traditional Arabic"/>
          <w:sz w:val="32"/>
          <w:szCs w:val="32"/>
          <w:rtl/>
        </w:rPr>
        <w:t xml:space="preserve"> فرصة عمل ترتبط بالأنشطة الأخرى ذات العلاقة بهذا القطاع</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وعندما اندلعت الأزمة المالية العالمية رصدت عدة دول، خاصة الولايات المتحدة وبلدان الاتحاد الأوروبي، أموالا طائلة لإنقاذ شركاتها من الانهيار وما يترتب عليه من تعطيل الأنشطة الاقتصادية، كما اتجهت أنظار هذه الدول إلى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الخليجية والآسيوية للمساهمة في هذا الإنقاذ</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ستتحقق طموحات هذه الدول إذا نجحت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في التخفيف من وطأة الأزمة المالية، أما إذا فشلت بسبب تعرضها للخسارة، فإن هذه الدول ستتخلص من هذه الصناديق الأجنبية المتهمة أحيانا</w:t>
      </w:r>
      <w:r w:rsidR="00D251A6">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بممارسة أنشطة خطيرة وأحيانا</w:t>
      </w:r>
      <w:r w:rsidR="00D251A6">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أخرى بالهيمنة على مؤسسات صناعية ومصرفية</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والواقع أن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ليست مؤسسات مصرفية، بل هي أجهزة استثمارية لا تشتري الحصص في الشركات نتيجة ضغوط سياسية بل نتيجة دراسة اقتصادية مستفيضة</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إن المقدرة المالية للصناديق الخليجية هبطت في الآونة الأخيرة تحت تأثير عدة عوامل في مقدمتها تراجع أسعار النفط وتضررها بسبب مساهمتها في شركات هبطت أسعار أسهمها. وقد تطالبها دولها بعدم استثمار أرباحها لتعويض هبوط أسعار النفط. وهذه هي الحكمة الأساسية من تأسيسها</w:t>
      </w:r>
      <w:r w:rsidRPr="00966167">
        <w:rPr>
          <w:rFonts w:ascii="Traditional Arabic" w:eastAsia="Times New Roman" w:hAnsi="Traditional Arabic" w:cs="Traditional Arabic"/>
          <w:sz w:val="32"/>
          <w:szCs w:val="32"/>
        </w:rPr>
        <w:t>.</w:t>
      </w:r>
    </w:p>
    <w:p w:rsidR="0066658A" w:rsidRPr="0066658A" w:rsidRDefault="00B52C5C" w:rsidP="0066658A">
      <w:pPr>
        <w:jc w:val="both"/>
        <w:rPr>
          <w:rFonts w:ascii="Traditional Arabic" w:eastAsia="Times New Roman" w:hAnsi="Traditional Arabic" w:cs="Traditional Arabic"/>
          <w:sz w:val="32"/>
          <w:szCs w:val="32"/>
          <w:rtl/>
        </w:rPr>
      </w:pPr>
      <w:r w:rsidRPr="00966167">
        <w:rPr>
          <w:rFonts w:ascii="Traditional Arabic" w:eastAsia="Times New Roman" w:hAnsi="Traditional Arabic" w:cs="Traditional Arabic"/>
          <w:sz w:val="32"/>
          <w:szCs w:val="32"/>
          <w:rtl/>
        </w:rPr>
        <w:t>وبات المستثمرون داخل منطقة الخليج يطالبون حكوماتهم بالتدخل لإنقاذ شركاتهم الوطنية من الإفلاس بدلا</w:t>
      </w:r>
      <w:r w:rsidR="00D251A6">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من ضخ الأموال في الشركات الأجنبية في الخارج</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tl/>
        </w:rPr>
        <w:t xml:space="preserve">صندوق النقد الدولي والصناديق </w:t>
      </w:r>
      <w:r w:rsidR="00485F25">
        <w:rPr>
          <w:rFonts w:ascii="Traditional Arabic" w:eastAsia="Times New Roman" w:hAnsi="Traditional Arabic" w:cs="Traditional Arabic"/>
          <w:b/>
          <w:bCs/>
          <w:sz w:val="32"/>
          <w:szCs w:val="32"/>
          <w:rtl/>
        </w:rPr>
        <w:t>السياديَّة</w:t>
      </w:r>
    </w:p>
    <w:p w:rsidR="00B52C5C" w:rsidRPr="00966167" w:rsidRDefault="00B52C5C" w:rsidP="00D251A6">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أمام النمو المتزايد للصناديق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وزيادة دورها على مستوى الأسواق المالية العالمية، عمل صندوق النقد الدولي على إيجاد آليات تمكن من إدماج هذه الصناديق ضمن قواعد النظام المالي العالمي. وهكذا </w:t>
      </w:r>
      <w:r w:rsidRPr="00966167">
        <w:rPr>
          <w:rFonts w:ascii="Traditional Arabic" w:eastAsia="Times New Roman" w:hAnsi="Traditional Arabic" w:cs="Traditional Arabic"/>
          <w:sz w:val="32"/>
          <w:szCs w:val="32"/>
          <w:rtl/>
        </w:rPr>
        <w:lastRenderedPageBreak/>
        <w:t xml:space="preserve">قامت اللجنة الدولية للشؤون النقدية والمالية بدعوة من الصندوق في أكتوبر </w:t>
      </w:r>
      <w:r w:rsidRPr="005202E9">
        <w:rPr>
          <w:rFonts w:ascii="Traditional Arabic" w:eastAsia="Times New Roman" w:hAnsi="Traditional Arabic" w:cs="Traditional Arabic"/>
          <w:sz w:val="24"/>
          <w:szCs w:val="24"/>
          <w:rtl/>
        </w:rPr>
        <w:t>2007</w:t>
      </w:r>
      <w:r w:rsidRPr="00966167">
        <w:rPr>
          <w:rFonts w:ascii="Traditional Arabic" w:eastAsia="Times New Roman" w:hAnsi="Traditional Arabic" w:cs="Traditional Arabic"/>
          <w:sz w:val="32"/>
          <w:szCs w:val="32"/>
          <w:rtl/>
        </w:rPr>
        <w:t xml:space="preserve"> إلى إقامة حوار مع البلدان الأعضاء قصد وضع مجموعة من القواعد التي تحكم الممارسات في مجال إدارة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وعمل صندوق النقد الدولي في ذات الوقت بهذا الخصوص مع منظمة التعاون والتنمية الاقتصادية</w:t>
      </w:r>
      <w:r w:rsidRPr="00966167">
        <w:rPr>
          <w:rFonts w:ascii="Traditional Arabic" w:eastAsia="Times New Roman" w:hAnsi="Traditional Arabic" w:cs="Traditional Arabic"/>
          <w:sz w:val="32"/>
          <w:szCs w:val="32"/>
        </w:rPr>
        <w:t>.</w:t>
      </w:r>
    </w:p>
    <w:p w:rsidR="00B52C5C" w:rsidRPr="00966167" w:rsidRDefault="00B52C5C" w:rsidP="00D251A6">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و</w:t>
      </w:r>
      <w:r w:rsidR="0076307D">
        <w:rPr>
          <w:rFonts w:ascii="Traditional Arabic" w:eastAsia="Times New Roman" w:hAnsi="Traditional Arabic" w:cs="Traditional Arabic"/>
          <w:sz w:val="32"/>
          <w:szCs w:val="32"/>
          <w:rtl/>
        </w:rPr>
        <w:t>تبعاً</w:t>
      </w:r>
      <w:r w:rsidRPr="00966167">
        <w:rPr>
          <w:rFonts w:ascii="Traditional Arabic" w:eastAsia="Times New Roman" w:hAnsi="Traditional Arabic" w:cs="Traditional Arabic"/>
          <w:sz w:val="32"/>
          <w:szCs w:val="32"/>
          <w:rtl/>
        </w:rPr>
        <w:t xml:space="preserve"> لذلك تم تأسيس مجموعة عمل دولية في </w:t>
      </w:r>
      <w:r w:rsidRPr="005202E9">
        <w:rPr>
          <w:rFonts w:ascii="Traditional Arabic" w:eastAsia="Times New Roman" w:hAnsi="Traditional Arabic" w:cs="Traditional Arabic"/>
          <w:sz w:val="24"/>
          <w:szCs w:val="24"/>
          <w:rtl/>
        </w:rPr>
        <w:t>1</w:t>
      </w:r>
      <w:r w:rsidRPr="00966167">
        <w:rPr>
          <w:rFonts w:ascii="Traditional Arabic" w:eastAsia="Times New Roman" w:hAnsi="Traditional Arabic" w:cs="Traditional Arabic"/>
          <w:sz w:val="32"/>
          <w:szCs w:val="32"/>
          <w:rtl/>
        </w:rPr>
        <w:t xml:space="preserve"> أيار  </w:t>
      </w:r>
      <w:r w:rsidRPr="005202E9">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rPr>
        <w:t xml:space="preserve"> لتحديد مجموعة من المبادئ الطوعية تسمح بفهم أوضح للإطار المؤسسي الذي ترتكز عليه الصناديق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 xml:space="preserve"> ونظام حوكمتها وعملياتها الاستثمارية، بما يدعم المحافظة على مناخ استثماري منفتح</w:t>
      </w:r>
      <w:r w:rsidR="00D251A6">
        <w:rPr>
          <w:rFonts w:ascii="Traditional Arabic" w:eastAsia="Times New Roman" w:hAnsi="Traditional Arabic" w:cs="Traditional Arabic"/>
          <w:sz w:val="32"/>
          <w:szCs w:val="32"/>
          <w:rtl/>
        </w:rPr>
        <w:t xml:space="preserve"> ومستقر</w:t>
      </w:r>
      <w:r w:rsidR="00D251A6">
        <w:rPr>
          <w:rFonts w:ascii="Traditional Arabic" w:eastAsia="Times New Roman" w:hAnsi="Traditional Arabic" w:cs="Traditional Arabic" w:hint="cs"/>
          <w:sz w:val="32"/>
          <w:szCs w:val="32"/>
          <w:rtl/>
        </w:rPr>
        <w:t>,</w:t>
      </w:r>
      <w:r w:rsidR="00D251A6">
        <w:rPr>
          <w:rFonts w:ascii="Traditional Arabic" w:eastAsia="Times New Roman" w:hAnsi="Traditional Arabic" w:cs="Traditional Arabic"/>
          <w:sz w:val="32"/>
          <w:szCs w:val="32"/>
          <w:rtl/>
        </w:rPr>
        <w:t xml:space="preserve"> وعقد لذلك جلسات عمل في واشنط</w:t>
      </w:r>
      <w:r w:rsidRPr="00966167">
        <w:rPr>
          <w:rFonts w:ascii="Traditional Arabic" w:eastAsia="Times New Roman" w:hAnsi="Traditional Arabic" w:cs="Traditional Arabic"/>
          <w:sz w:val="32"/>
          <w:szCs w:val="32"/>
          <w:rtl/>
        </w:rPr>
        <w:t>ن، سنغافورة وسنتياغو  إلى أن توصل</w:t>
      </w:r>
      <w:r w:rsidR="00D251A6">
        <w:rPr>
          <w:rFonts w:ascii="Traditional Arabic" w:eastAsia="Times New Roman" w:hAnsi="Traditional Arabic" w:cs="Traditional Arabic"/>
          <w:sz w:val="32"/>
          <w:szCs w:val="32"/>
          <w:rtl/>
        </w:rPr>
        <w:t>ت إلى اتفاق أولي حول مبادئها ف</w:t>
      </w:r>
      <w:r w:rsidR="00D251A6">
        <w:rPr>
          <w:rFonts w:ascii="Traditional Arabic" w:eastAsia="Times New Roman" w:hAnsi="Traditional Arabic" w:cs="Traditional Arabic" w:hint="cs"/>
          <w:sz w:val="32"/>
          <w:szCs w:val="32"/>
          <w:rtl/>
        </w:rPr>
        <w:t xml:space="preserve">ي </w:t>
      </w:r>
      <w:r w:rsidR="00D251A6" w:rsidRPr="005202E9">
        <w:rPr>
          <w:rFonts w:ascii="Traditional Arabic" w:eastAsia="Times New Roman" w:hAnsi="Traditional Arabic" w:cs="Traditional Arabic" w:hint="cs"/>
          <w:sz w:val="24"/>
          <w:szCs w:val="24"/>
          <w:rtl/>
        </w:rPr>
        <w:t>2</w:t>
      </w:r>
      <w:r w:rsidR="00D251A6">
        <w:rPr>
          <w:rFonts w:ascii="Traditional Arabic" w:eastAsia="Times New Roman" w:hAnsi="Traditional Arabic" w:cs="Traditional Arabic" w:hint="cs"/>
          <w:sz w:val="32"/>
          <w:szCs w:val="32"/>
          <w:rtl/>
        </w:rPr>
        <w:t xml:space="preserve"> أ</w:t>
      </w:r>
      <w:r w:rsidRPr="00966167">
        <w:rPr>
          <w:rFonts w:ascii="Traditional Arabic" w:eastAsia="Times New Roman" w:hAnsi="Traditional Arabic" w:cs="Traditional Arabic"/>
          <w:sz w:val="32"/>
          <w:szCs w:val="32"/>
          <w:rtl/>
        </w:rPr>
        <w:t xml:space="preserve">يلول  </w:t>
      </w:r>
      <w:r w:rsidRPr="005202E9">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rPr>
        <w:t xml:space="preserve"> وأصبحت هذه المبادئ تسمى بمبادئ سنتياغو وعددها أربعة وعشرون مبدأ</w:t>
      </w:r>
      <w:r w:rsidR="00D251A6">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طوعيا</w:t>
      </w:r>
      <w:r w:rsidR="00D251A6">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تغطي المجالات التالية:</w:t>
      </w:r>
    </w:p>
    <w:p w:rsidR="00B52C5C" w:rsidRPr="00966167" w:rsidRDefault="00B52C5C" w:rsidP="00B52C5C">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الإطار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القانوني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والأهداف</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والاتساق</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مع</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السياسات</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الاقتصادية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الكلية.</w:t>
      </w:r>
    </w:p>
    <w:p w:rsidR="00B52C5C" w:rsidRPr="00966167" w:rsidRDefault="00B52C5C" w:rsidP="00B52C5C">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الإطار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المؤسسي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وهيكل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الحوكمة.</w:t>
      </w:r>
    </w:p>
    <w:p w:rsidR="00B52C5C" w:rsidRPr="00966167" w:rsidRDefault="00B52C5C" w:rsidP="00B52C5C">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إطار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الاستثمار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وإدارة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المخاطر</w:t>
      </w:r>
      <w:r w:rsidRPr="00966167">
        <w:rPr>
          <w:rFonts w:ascii="Traditional Arabic" w:eastAsia="Times New Roman" w:hAnsi="Traditional Arabic" w:cs="Traditional Arabic"/>
          <w:sz w:val="32"/>
          <w:szCs w:val="32"/>
        </w:rPr>
        <w:t>.</w:t>
      </w:r>
    </w:p>
    <w:p w:rsidR="00B52C5C" w:rsidRPr="00966167" w:rsidRDefault="00B52C5C" w:rsidP="00B52C5C">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وكان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الغرض</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هذه</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المبادئ</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هو</w:t>
      </w:r>
      <w:r w:rsidRPr="00966167">
        <w:rPr>
          <w:rFonts w:ascii="Traditional Arabic" w:eastAsia="Times New Roman" w:hAnsi="Traditional Arabic" w:cs="Traditional Arabic"/>
          <w:sz w:val="32"/>
          <w:szCs w:val="32"/>
        </w:rPr>
        <w:t>:</w:t>
      </w:r>
    </w:p>
    <w:p w:rsidR="00B52C5C" w:rsidRPr="00966167" w:rsidRDefault="00B52C5C" w:rsidP="00B52C5C">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xml:space="preserve">-1 </w:t>
      </w:r>
      <w:r w:rsidRPr="00966167">
        <w:rPr>
          <w:rFonts w:ascii="Traditional Arabic" w:eastAsia="Times New Roman" w:hAnsi="Traditional Arabic" w:cs="Traditional Arabic"/>
          <w:sz w:val="32"/>
          <w:szCs w:val="32"/>
          <w:rtl/>
        </w:rPr>
        <w:t>إرساء</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هيكل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شفاف</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وسليم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للحوكمة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يكفل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الضوابط</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التشغيلية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الملائمة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وسلامة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إدارة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المخاطر والمساءلة.</w:t>
      </w:r>
    </w:p>
    <w:p w:rsidR="00B52C5C" w:rsidRPr="00966167" w:rsidRDefault="00B52C5C" w:rsidP="00B52C5C">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xml:space="preserve">-2 </w:t>
      </w:r>
      <w:r w:rsidRPr="00966167">
        <w:rPr>
          <w:rFonts w:ascii="Traditional Arabic" w:eastAsia="Times New Roman" w:hAnsi="Traditional Arabic" w:cs="Traditional Arabic"/>
          <w:sz w:val="32"/>
          <w:szCs w:val="32"/>
          <w:rtl/>
        </w:rPr>
        <w:t>ضمان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الالتزام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بكافة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متطلبات</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التنظيم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والإفصاح</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المرعية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في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البلدان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التي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تستثمر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فيها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 xml:space="preserve">صناديق الثروة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tl/>
        </w:rPr>
        <w:t>.</w:t>
      </w:r>
    </w:p>
    <w:p w:rsidR="00B52C5C" w:rsidRPr="00966167" w:rsidRDefault="00B52C5C" w:rsidP="00B52C5C">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xml:space="preserve">-3 </w:t>
      </w:r>
      <w:r w:rsidRPr="00966167">
        <w:rPr>
          <w:rFonts w:ascii="Traditional Arabic" w:eastAsia="Times New Roman" w:hAnsi="Traditional Arabic" w:cs="Traditional Arabic"/>
          <w:sz w:val="32"/>
          <w:szCs w:val="32"/>
          <w:rtl/>
        </w:rPr>
        <w:t>التأكد</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أن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استثمارات</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صناديق</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الثروة</w:t>
      </w:r>
      <w:r w:rsidRPr="00966167">
        <w:rPr>
          <w:rFonts w:ascii="Traditional Arabic" w:eastAsia="Times New Roman" w:hAnsi="Traditional Arabic" w:cs="Traditional Arabic"/>
          <w:sz w:val="32"/>
          <w:szCs w:val="32"/>
        </w:rPr>
        <w:t xml:space="preserve">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تراعي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المخاطر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الاقتصادية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والمالية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واعتبارات العائد.</w:t>
      </w:r>
    </w:p>
    <w:p w:rsidR="00B52C5C" w:rsidRPr="00966167" w:rsidRDefault="00B52C5C" w:rsidP="00B52C5C">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xml:space="preserve">-4 </w:t>
      </w:r>
      <w:r w:rsidRPr="00966167">
        <w:rPr>
          <w:rFonts w:ascii="Traditional Arabic" w:eastAsia="Times New Roman" w:hAnsi="Traditional Arabic" w:cs="Traditional Arabic"/>
          <w:sz w:val="32"/>
          <w:szCs w:val="32"/>
          <w:rtl/>
        </w:rPr>
        <w:t>المساعدة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على</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الاحتفاظ</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بنظام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مالي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عالمي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مستقر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وبحرية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تدفق</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رؤوس</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الأموال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والاستثمارات</w:t>
      </w:r>
      <w:r w:rsidRPr="00966167">
        <w:rPr>
          <w:rFonts w:ascii="Traditional Arabic" w:eastAsia="Times New Roman" w:hAnsi="Traditional Arabic" w:cs="Traditional Arabic"/>
          <w:sz w:val="32"/>
          <w:szCs w:val="32"/>
        </w:rPr>
        <w:t>.</w:t>
      </w:r>
    </w:p>
    <w:p w:rsidR="00B52C5C" w:rsidRPr="00966167" w:rsidRDefault="00B52C5C" w:rsidP="00D251A6">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ورغم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أهمية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هذه</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المبادئ</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ومشاركة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بعض</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الصناديق</w:t>
      </w:r>
      <w:r w:rsidRPr="00966167">
        <w:rPr>
          <w:rFonts w:ascii="Traditional Arabic" w:eastAsia="Times New Roman" w:hAnsi="Traditional Arabic" w:cs="Traditional Arabic"/>
          <w:sz w:val="32"/>
          <w:szCs w:val="32"/>
        </w:rPr>
        <w:t xml:space="preserve">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في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صياغتها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وإعدادها،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فإنها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تنطلق</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من رؤية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اتهامية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للصناديق</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بأنها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بعيدة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في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إدارتها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عن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الشفافية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وقواعد</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الحكم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الراشد،</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وهي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بهذا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تشكل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تهديدا لأسس</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النظام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المالي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العالمي</w:t>
      </w:r>
      <w:r w:rsidRPr="00966167">
        <w:rPr>
          <w:rFonts w:ascii="Traditional Arabic" w:eastAsia="Times New Roman" w:hAnsi="Traditional Arabic" w:cs="Traditional Arabic"/>
          <w:sz w:val="32"/>
          <w:szCs w:val="32"/>
        </w:rPr>
        <w:t>.</w:t>
      </w:r>
    </w:p>
    <w:p w:rsidR="00B52C5C" w:rsidRPr="00966167" w:rsidRDefault="00B52C5C" w:rsidP="00D251A6">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وتم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في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نفس</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الوقت</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إلزام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الصناديق</w:t>
      </w:r>
      <w:r w:rsidRPr="00966167">
        <w:rPr>
          <w:rFonts w:ascii="Traditional Arabic" w:eastAsia="Times New Roman" w:hAnsi="Traditional Arabic" w:cs="Traditional Arabic"/>
          <w:sz w:val="32"/>
          <w:szCs w:val="32"/>
        </w:rPr>
        <w:t xml:space="preserve"> </w:t>
      </w:r>
      <w:r w:rsidR="00485F25">
        <w:rPr>
          <w:rFonts w:ascii="Traditional Arabic" w:eastAsia="Times New Roman" w:hAnsi="Traditional Arabic" w:cs="Traditional Arabic"/>
          <w:sz w:val="32"/>
          <w:szCs w:val="32"/>
          <w:rtl/>
        </w:rPr>
        <w:t>السياديَّة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بمبادئ</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الاستثمار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المعتمدة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قبل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منظمة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التعاون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والتنمية والمتمثلة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في</w:t>
      </w:r>
      <w:r w:rsidRPr="00966167">
        <w:rPr>
          <w:rFonts w:ascii="Traditional Arabic" w:eastAsia="Times New Roman" w:hAnsi="Traditional Arabic" w:cs="Traditional Arabic"/>
          <w:sz w:val="32"/>
          <w:szCs w:val="32"/>
        </w:rPr>
        <w:t xml:space="preserve">: </w:t>
      </w:r>
    </w:p>
    <w:p w:rsidR="0066658A" w:rsidRPr="0066658A" w:rsidRDefault="0066658A" w:rsidP="00D251A6">
      <w:pPr>
        <w:pStyle w:val="a3"/>
        <w:numPr>
          <w:ilvl w:val="0"/>
          <w:numId w:val="3"/>
        </w:numPr>
        <w:jc w:val="both"/>
        <w:rPr>
          <w:rFonts w:ascii="Traditional Arabic" w:hAnsi="Traditional Arabic" w:cs="Traditional Arabic"/>
        </w:rPr>
      </w:pPr>
    </w:p>
    <w:p w:rsidR="00B52C5C" w:rsidRPr="0066658A" w:rsidRDefault="00B52C5C" w:rsidP="0066658A">
      <w:pPr>
        <w:pStyle w:val="a3"/>
        <w:numPr>
          <w:ilvl w:val="0"/>
          <w:numId w:val="3"/>
        </w:numPr>
        <w:jc w:val="both"/>
        <w:rPr>
          <w:rFonts w:ascii="Traditional Arabic" w:hAnsi="Traditional Arabic" w:cs="Traditional Arabic"/>
          <w:rtl/>
        </w:rPr>
      </w:pPr>
      <w:r w:rsidRPr="0066658A">
        <w:rPr>
          <w:rFonts w:ascii="Traditional Arabic" w:hAnsi="Traditional Arabic" w:cs="Traditional Arabic" w:hint="cs"/>
          <w:b/>
          <w:bCs/>
          <w:sz w:val="32"/>
          <w:szCs w:val="32"/>
          <w:rtl/>
        </w:rPr>
        <w:t>عدم</w:t>
      </w:r>
      <w:r w:rsidRPr="0066658A">
        <w:rPr>
          <w:rFonts w:ascii="Traditional Arabic" w:hAnsi="Traditional Arabic" w:cs="Traditional Arabic"/>
          <w:b/>
          <w:bCs/>
          <w:sz w:val="32"/>
          <w:szCs w:val="32"/>
        </w:rPr>
        <w:t xml:space="preserve"> </w:t>
      </w:r>
      <w:r w:rsidRPr="0066658A">
        <w:rPr>
          <w:rFonts w:ascii="Traditional Arabic" w:hAnsi="Traditional Arabic" w:cs="Traditional Arabic"/>
          <w:b/>
          <w:bCs/>
          <w:sz w:val="32"/>
          <w:szCs w:val="32"/>
          <w:rtl/>
        </w:rPr>
        <w:t>التمييز</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بحيث</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يجب</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ألا</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يتم</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إخضاع</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المستثمرين</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الأجانب</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إلى</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أنظمة</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مزايا</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أقل</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من</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تلك الممنوحة</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للمستثمرين</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الوطنيين،</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في</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نفس</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الظروف</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وبما</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أن</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منظمة</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التعاون</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والتنمية</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الاقتصادية تحمي</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مباشرة</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استثمارات</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الصناديق</w:t>
      </w:r>
      <w:r w:rsidRPr="0066658A">
        <w:rPr>
          <w:rFonts w:ascii="Traditional Arabic" w:hAnsi="Traditional Arabic" w:cs="Traditional Arabic"/>
          <w:sz w:val="32"/>
          <w:szCs w:val="32"/>
        </w:rPr>
        <w:t xml:space="preserve"> </w:t>
      </w:r>
      <w:r w:rsidR="00485F25" w:rsidRPr="0066658A">
        <w:rPr>
          <w:rFonts w:ascii="Traditional Arabic" w:hAnsi="Traditional Arabic" w:cs="Traditional Arabic"/>
          <w:sz w:val="32"/>
          <w:szCs w:val="32"/>
          <w:rtl/>
        </w:rPr>
        <w:t>السياديَّة</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في</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الدول</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الأعضاء</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تكون</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ملزمة</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بتوسيع</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حرية الاستثمار</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إلى</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كل</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دولة</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عضو</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في</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صندوق</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النقد</w:t>
      </w:r>
      <w:r w:rsidRPr="0066658A">
        <w:rPr>
          <w:rFonts w:ascii="Traditional Arabic" w:hAnsi="Traditional Arabic" w:cs="Traditional Arabic"/>
          <w:sz w:val="32"/>
          <w:szCs w:val="32"/>
        </w:rPr>
        <w:t xml:space="preserve"> </w:t>
      </w:r>
      <w:r w:rsidRPr="0066658A">
        <w:rPr>
          <w:rFonts w:ascii="Traditional Arabic" w:hAnsi="Traditional Arabic" w:cs="Traditional Arabic"/>
          <w:sz w:val="32"/>
          <w:szCs w:val="32"/>
          <w:rtl/>
        </w:rPr>
        <w:t>الدولي.</w:t>
      </w:r>
    </w:p>
    <w:p w:rsidR="00B52C5C" w:rsidRPr="00966167" w:rsidRDefault="00B52C5C" w:rsidP="00D251A6">
      <w:pPr>
        <w:pStyle w:val="a3"/>
        <w:numPr>
          <w:ilvl w:val="0"/>
          <w:numId w:val="3"/>
        </w:numPr>
        <w:jc w:val="both"/>
        <w:rPr>
          <w:rFonts w:ascii="Traditional Arabic" w:hAnsi="Traditional Arabic" w:cs="Traditional Arabic"/>
          <w:rtl/>
        </w:rPr>
      </w:pPr>
      <w:r w:rsidRPr="00D251A6">
        <w:rPr>
          <w:rFonts w:ascii="Traditional Arabic" w:hAnsi="Traditional Arabic" w:cs="Traditional Arabic"/>
          <w:b/>
          <w:bCs/>
          <w:sz w:val="32"/>
          <w:szCs w:val="32"/>
          <w:rtl/>
        </w:rPr>
        <w:t>الشفافية</w:t>
      </w:r>
      <w:r w:rsidRPr="00D251A6">
        <w:rPr>
          <w:rFonts w:ascii="Traditional Arabic" w:hAnsi="Traditional Arabic" w:cs="Traditional Arabic"/>
          <w:b/>
          <w:bCs/>
          <w:sz w:val="32"/>
          <w:szCs w:val="32"/>
        </w:rPr>
        <w:t xml:space="preserve">: </w:t>
      </w:r>
      <w:r w:rsidRPr="00966167">
        <w:rPr>
          <w:rFonts w:ascii="Traditional Arabic" w:hAnsi="Traditional Arabic" w:cs="Traditional Arabic"/>
          <w:sz w:val="32"/>
          <w:szCs w:val="32"/>
          <w:rtl/>
        </w:rPr>
        <w:t>بحيث</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يجب</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أن</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تكون</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المعلومات</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حول</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قيود</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الاستثمار</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الأجنبي</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كاملة</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ومتاحة</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للجميع.</w:t>
      </w:r>
    </w:p>
    <w:p w:rsidR="00B52C5C" w:rsidRPr="00966167" w:rsidRDefault="00B52C5C" w:rsidP="00D251A6">
      <w:pPr>
        <w:pStyle w:val="a3"/>
        <w:numPr>
          <w:ilvl w:val="0"/>
          <w:numId w:val="3"/>
        </w:numPr>
        <w:jc w:val="both"/>
        <w:rPr>
          <w:rFonts w:ascii="Traditional Arabic" w:hAnsi="Traditional Arabic" w:cs="Traditional Arabic"/>
          <w:rtl/>
        </w:rPr>
      </w:pPr>
      <w:r w:rsidRPr="00D251A6">
        <w:rPr>
          <w:rFonts w:ascii="Traditional Arabic" w:hAnsi="Traditional Arabic" w:cs="Traditional Arabic"/>
          <w:b/>
          <w:bCs/>
          <w:sz w:val="32"/>
          <w:szCs w:val="32"/>
          <w:rtl/>
        </w:rPr>
        <w:t>التحرير</w:t>
      </w:r>
      <w:r w:rsidRPr="00D251A6">
        <w:rPr>
          <w:rFonts w:ascii="Traditional Arabic" w:hAnsi="Traditional Arabic" w:cs="Traditional Arabic"/>
          <w:b/>
          <w:bCs/>
          <w:sz w:val="32"/>
          <w:szCs w:val="32"/>
        </w:rPr>
        <w:t xml:space="preserve"> </w:t>
      </w:r>
      <w:r w:rsidRPr="00D251A6">
        <w:rPr>
          <w:rFonts w:ascii="Traditional Arabic" w:hAnsi="Traditional Arabic" w:cs="Traditional Arabic"/>
          <w:b/>
          <w:bCs/>
          <w:sz w:val="32"/>
          <w:szCs w:val="32"/>
          <w:rtl/>
        </w:rPr>
        <w:t>التدريجي</w:t>
      </w:r>
      <w:r w:rsidRPr="00D251A6">
        <w:rPr>
          <w:rFonts w:ascii="Traditional Arabic" w:hAnsi="Traditional Arabic" w:cs="Traditional Arabic"/>
          <w:b/>
          <w:bCs/>
          <w:sz w:val="32"/>
          <w:szCs w:val="32"/>
        </w:rPr>
        <w:t xml:space="preserve">: </w:t>
      </w:r>
      <w:r w:rsidRPr="00966167">
        <w:rPr>
          <w:rFonts w:ascii="Traditional Arabic" w:hAnsi="Traditional Arabic" w:cs="Traditional Arabic"/>
          <w:sz w:val="32"/>
          <w:szCs w:val="32"/>
          <w:rtl/>
        </w:rPr>
        <w:t>تلتزم</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الدول</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الأعضاء</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بالإلغاء</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التدريجي</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للقيود</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على</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حرية</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انتقال</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رؤوس الأموال</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على</w:t>
      </w:r>
      <w:r w:rsidRPr="00966167">
        <w:rPr>
          <w:rFonts w:ascii="Traditional Arabic" w:hAnsi="Traditional Arabic" w:cs="Traditional Arabic"/>
          <w:sz w:val="32"/>
          <w:szCs w:val="32"/>
        </w:rPr>
        <w:t xml:space="preserve"> </w:t>
      </w:r>
      <w:r w:rsidRPr="00966167">
        <w:rPr>
          <w:rFonts w:ascii="Traditional Arabic" w:hAnsi="Traditional Arabic" w:cs="Traditional Arabic"/>
          <w:sz w:val="32"/>
          <w:szCs w:val="32"/>
          <w:rtl/>
        </w:rPr>
        <w:t>أراضيها.</w:t>
      </w:r>
    </w:p>
    <w:p w:rsidR="00B52C5C" w:rsidRPr="00966167" w:rsidRDefault="00B52C5C" w:rsidP="00D251A6">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من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المفيد</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الإشارة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إلى</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أن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هذه</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المبادئ</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وضعها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للشركات</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متعددة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الجنسيات،</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علما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بأنه</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تسجيل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صعود متزايد</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لهذا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النوع</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الشركات</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المملوكة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لدول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العام</w:t>
      </w:r>
      <w:r w:rsidRPr="00966167">
        <w:rPr>
          <w:rFonts w:ascii="Traditional Arabic" w:eastAsia="Times New Roman" w:hAnsi="Traditional Arabic" w:cs="Traditional Arabic"/>
          <w:sz w:val="32"/>
          <w:szCs w:val="32"/>
        </w:rPr>
        <w:t xml:space="preserve"> </w:t>
      </w:r>
      <w:r w:rsidR="00D251A6">
        <w:rPr>
          <w:rFonts w:ascii="Traditional Arabic" w:eastAsia="Times New Roman" w:hAnsi="Traditional Arabic" w:cs="Traditional Arabic"/>
          <w:sz w:val="32"/>
          <w:szCs w:val="32"/>
          <w:rtl/>
        </w:rPr>
        <w:t>الثال</w:t>
      </w:r>
      <w:r w:rsidR="00D251A6">
        <w:rPr>
          <w:rFonts w:ascii="Traditional Arabic" w:eastAsia="Times New Roman" w:hAnsi="Traditional Arabic" w:cs="Traditional Arabic" w:hint="cs"/>
          <w:sz w:val="32"/>
          <w:szCs w:val="32"/>
          <w:rtl/>
        </w:rPr>
        <w:t xml:space="preserve">ث </w:t>
      </w:r>
      <w:r w:rsidRPr="00966167">
        <w:rPr>
          <w:rFonts w:ascii="Traditional Arabic" w:eastAsia="Times New Roman" w:hAnsi="Traditional Arabic" w:cs="Traditional Arabic"/>
          <w:sz w:val="32"/>
          <w:szCs w:val="32"/>
          <w:rtl/>
        </w:rPr>
        <w:t>ويتم</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التغاضي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عن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جزء</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هذه</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المبادئ</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لما</w:t>
      </w:r>
    </w:p>
    <w:p w:rsidR="00B52C5C" w:rsidRPr="00966167" w:rsidRDefault="00B52C5C" w:rsidP="00D251A6">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يتعلق</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الأمر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بحماية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مصالح</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الدول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الكبرى</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مثل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التعامل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مع</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مبدأ</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الشفافية،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فالدول</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الصناعية</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لا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تعلن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بشكل شفاف</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عن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مخزونها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الاستراتيجي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من</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النفط</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إلا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عند</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رغبتها</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في</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التأثير</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على</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السوق</w:t>
      </w:r>
      <w:r w:rsidRPr="00966167">
        <w:rPr>
          <w:rFonts w:ascii="Traditional Arabic" w:eastAsia="Times New Roman" w:hAnsi="Traditional Arabic" w:cs="Traditional Arabic"/>
          <w:sz w:val="32"/>
          <w:szCs w:val="32"/>
        </w:rPr>
        <w:t xml:space="preserve"> </w:t>
      </w:r>
      <w:r w:rsidRPr="00966167">
        <w:rPr>
          <w:rFonts w:ascii="Traditional Arabic" w:eastAsia="Times New Roman" w:hAnsi="Traditional Arabic" w:cs="Traditional Arabic"/>
          <w:sz w:val="32"/>
          <w:szCs w:val="32"/>
          <w:rtl/>
        </w:rPr>
        <w:t>النفطية</w:t>
      </w:r>
      <w:r w:rsidRPr="00966167">
        <w:rPr>
          <w:rFonts w:ascii="Traditional Arabic" w:eastAsia="Times New Roman" w:hAnsi="Traditional Arabic" w:cs="Traditional Arabic"/>
          <w:sz w:val="32"/>
          <w:szCs w:val="32"/>
        </w:rPr>
        <w:t>.</w:t>
      </w:r>
    </w:p>
    <w:p w:rsidR="00E543C8" w:rsidRDefault="00E2456D" w:rsidP="00E2456D">
      <w:pPr>
        <w:jc w:val="both"/>
        <w:rPr>
          <w:rFonts w:ascii="Traditional Arabic" w:eastAsia="Times New Roman" w:hAnsi="Traditional Arabic" w:cs="Traditional Arabic"/>
          <w:b/>
          <w:bCs/>
          <w:sz w:val="32"/>
          <w:szCs w:val="32"/>
          <w:rtl/>
        </w:rPr>
      </w:pPr>
      <w:r w:rsidRPr="00E2456D">
        <w:rPr>
          <w:rFonts w:ascii="Traditional Arabic" w:eastAsia="Times New Roman" w:hAnsi="Traditional Arabic" w:cs="Traditional Arabic" w:hint="cs"/>
          <w:b/>
          <w:bCs/>
          <w:sz w:val="32"/>
          <w:szCs w:val="32"/>
          <w:rtl/>
        </w:rPr>
        <w:t>الصناديق السيادية والأزمة المالية</w:t>
      </w:r>
      <w:r w:rsidR="00B52C5C" w:rsidRPr="00E2456D">
        <w:rPr>
          <w:rFonts w:ascii="Traditional Arabic" w:eastAsia="Times New Roman" w:hAnsi="Traditional Arabic" w:cs="Traditional Arabic"/>
          <w:b/>
          <w:bCs/>
          <w:sz w:val="32"/>
          <w:szCs w:val="32"/>
          <w:rtl/>
        </w:rPr>
        <w:t> </w:t>
      </w:r>
    </w:p>
    <w:p w:rsidR="006B712D" w:rsidRDefault="006B712D" w:rsidP="006B712D">
      <w:pPr>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لقد لعبت هذه الصناديق دوراً إيجابياً مهماً في ظل الأزمة على اعتبار أن الأزمة هي أزمة سيولة وهذا ما تمتلكه الصناديق السيادية ، لقد ساهمت الصناديق السيادية في إعادة </w:t>
      </w:r>
      <w:proofErr w:type="spellStart"/>
      <w:r>
        <w:rPr>
          <w:rFonts w:ascii="Traditional Arabic" w:eastAsia="Times New Roman" w:hAnsi="Traditional Arabic" w:cs="Traditional Arabic" w:hint="cs"/>
          <w:sz w:val="32"/>
          <w:szCs w:val="32"/>
          <w:rtl/>
        </w:rPr>
        <w:t>رسملة</w:t>
      </w:r>
      <w:proofErr w:type="spellEnd"/>
      <w:r>
        <w:rPr>
          <w:rFonts w:ascii="Traditional Arabic" w:eastAsia="Times New Roman" w:hAnsi="Traditional Arabic" w:cs="Traditional Arabic" w:hint="cs"/>
          <w:sz w:val="32"/>
          <w:szCs w:val="32"/>
          <w:rtl/>
        </w:rPr>
        <w:t xml:space="preserve"> المؤسسات المالية المتعثرة ففي ظرف ستة أشهر استثمرت الصناديق ما قيمته </w:t>
      </w:r>
      <w:r w:rsidRPr="005202E9">
        <w:rPr>
          <w:rFonts w:ascii="Traditional Arabic" w:eastAsia="Times New Roman" w:hAnsi="Traditional Arabic" w:cs="Traditional Arabic" w:hint="cs"/>
          <w:sz w:val="24"/>
          <w:szCs w:val="24"/>
          <w:rtl/>
        </w:rPr>
        <w:t>76.83</w:t>
      </w:r>
      <w:r>
        <w:rPr>
          <w:rFonts w:ascii="Traditional Arabic" w:eastAsia="Times New Roman" w:hAnsi="Traditional Arabic" w:cs="Traditional Arabic" w:hint="cs"/>
          <w:sz w:val="32"/>
          <w:szCs w:val="32"/>
          <w:rtl/>
        </w:rPr>
        <w:t xml:space="preserve"> مليار دولار في رأسمال المؤسسات المالية الغربية ،ولولا تدخل الصناديق السيادية كان يمكن للخطر النظامي للأزمة أن يكون أكثر أهمية.</w:t>
      </w:r>
    </w:p>
    <w:p w:rsidR="00E2456D" w:rsidRDefault="006B712D" w:rsidP="006B712D">
      <w:pPr>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 xml:space="preserve">كما أن للأزمة دور سلبي على الصناديق وخاصة الخليجية إذ تعرضت إلى خسائر من جراء هذه الأزمة قدرتها مجلة الإيكونمست بـ </w:t>
      </w:r>
      <w:r w:rsidRPr="005202E9">
        <w:rPr>
          <w:rFonts w:ascii="Traditional Arabic" w:eastAsia="Times New Roman" w:hAnsi="Traditional Arabic" w:cs="Traditional Arabic" w:hint="cs"/>
          <w:sz w:val="24"/>
          <w:szCs w:val="24"/>
          <w:rtl/>
        </w:rPr>
        <w:t>400</w:t>
      </w:r>
      <w:r>
        <w:rPr>
          <w:rFonts w:ascii="Traditional Arabic" w:eastAsia="Times New Roman" w:hAnsi="Traditional Arabic" w:cs="Traditional Arabic" w:hint="cs"/>
          <w:sz w:val="32"/>
          <w:szCs w:val="32"/>
          <w:rtl/>
        </w:rPr>
        <w:t xml:space="preserve"> مليار دولار وهو مبلغ يمثل</w:t>
      </w:r>
      <w:r w:rsidRPr="005202E9">
        <w:rPr>
          <w:rFonts w:ascii="Traditional Arabic" w:eastAsia="Times New Roman" w:hAnsi="Traditional Arabic" w:cs="Traditional Arabic" w:hint="cs"/>
          <w:sz w:val="24"/>
          <w:szCs w:val="24"/>
          <w:rtl/>
        </w:rPr>
        <w:t xml:space="preserve"> 4%</w:t>
      </w:r>
      <w:r>
        <w:rPr>
          <w:rFonts w:ascii="Traditional Arabic" w:eastAsia="Times New Roman" w:hAnsi="Traditional Arabic" w:cs="Traditional Arabic" w:hint="cs"/>
          <w:sz w:val="32"/>
          <w:szCs w:val="32"/>
          <w:rtl/>
        </w:rPr>
        <w:t xml:space="preserve"> من حجم الخسائر التي تحملها الاقتصاد العالمي بسبب الأزمة حسب تقديرات بنك إنجلترا الذي </w:t>
      </w:r>
      <w:r w:rsidR="005202E9">
        <w:rPr>
          <w:rFonts w:ascii="Traditional Arabic" w:eastAsia="Times New Roman" w:hAnsi="Traditional Arabic" w:cs="Traditional Arabic" w:hint="cs"/>
          <w:sz w:val="32"/>
          <w:szCs w:val="32"/>
          <w:rtl/>
        </w:rPr>
        <w:t xml:space="preserve">قدر هذه الخسائر بنحو  </w:t>
      </w:r>
      <w:r w:rsidR="005202E9" w:rsidRPr="005202E9">
        <w:rPr>
          <w:rFonts w:ascii="Traditional Arabic" w:eastAsia="Times New Roman" w:hAnsi="Traditional Arabic" w:cs="Traditional Arabic" w:hint="cs"/>
          <w:sz w:val="24"/>
          <w:szCs w:val="24"/>
          <w:rtl/>
        </w:rPr>
        <w:t>10</w:t>
      </w:r>
      <w:r w:rsidR="005202E9">
        <w:rPr>
          <w:rFonts w:ascii="Traditional Arabic" w:eastAsia="Times New Roman" w:hAnsi="Traditional Arabic" w:cs="Traditional Arabic" w:hint="cs"/>
          <w:sz w:val="32"/>
          <w:szCs w:val="32"/>
          <w:rtl/>
        </w:rPr>
        <w:t xml:space="preserve"> تريليون دولار .</w:t>
      </w:r>
    </w:p>
    <w:p w:rsidR="009179BE" w:rsidRDefault="009179BE"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075C1">
      <w:pPr>
        <w:rPr>
          <w:rFonts w:cs="Traditional Arabic"/>
          <w:b/>
          <w:bCs/>
          <w:sz w:val="36"/>
          <w:szCs w:val="36"/>
          <w:rtl/>
          <w:lang w:bidi="ar-SY"/>
        </w:rPr>
      </w:pPr>
      <w:r>
        <w:rPr>
          <w:rFonts w:cs="Traditional Arabic" w:hint="cs"/>
          <w:b/>
          <w:bCs/>
          <w:sz w:val="36"/>
          <w:szCs w:val="36"/>
          <w:rtl/>
          <w:lang w:bidi="ar-SY"/>
        </w:rPr>
        <w:lastRenderedPageBreak/>
        <w:t>دور المدير المالي في الصناديق السيادية</w:t>
      </w:r>
    </w:p>
    <w:p w:rsidR="006075C1" w:rsidRDefault="006075C1" w:rsidP="006075C1">
      <w:pPr>
        <w:jc w:val="both"/>
        <w:rPr>
          <w:rFonts w:cs="Traditional Arabic"/>
          <w:sz w:val="32"/>
          <w:szCs w:val="32"/>
          <w:rtl/>
          <w:lang w:bidi="ar-SY"/>
        </w:rPr>
      </w:pPr>
      <w:r>
        <w:rPr>
          <w:rFonts w:cs="Traditional Arabic" w:hint="cs"/>
          <w:sz w:val="32"/>
          <w:szCs w:val="32"/>
          <w:rtl/>
          <w:lang w:bidi="ar-SY"/>
        </w:rPr>
        <w:t>نستطيع دراسة هذا الدور من جانبين الأول دور المدراء الماليون للصندوق السيادي , و الثاني دور المدراء الماليون في الدول المستقبلة لاستثمارات الصناديق:</w:t>
      </w:r>
    </w:p>
    <w:p w:rsidR="006075C1" w:rsidRPr="00111017" w:rsidRDefault="006075C1" w:rsidP="006075C1">
      <w:pPr>
        <w:numPr>
          <w:ilvl w:val="0"/>
          <w:numId w:val="6"/>
        </w:numPr>
        <w:tabs>
          <w:tab w:val="right" w:pos="199"/>
        </w:tabs>
        <w:spacing w:after="0" w:line="240" w:lineRule="auto"/>
        <w:ind w:left="-85" w:firstLine="0"/>
        <w:rPr>
          <w:rFonts w:cs="Traditional Arabic"/>
          <w:b/>
          <w:bCs/>
          <w:sz w:val="32"/>
          <w:szCs w:val="32"/>
          <w:lang w:bidi="ar-SY"/>
        </w:rPr>
      </w:pPr>
      <w:r w:rsidRPr="00111017">
        <w:rPr>
          <w:rFonts w:cs="Traditional Arabic" w:hint="cs"/>
          <w:b/>
          <w:bCs/>
          <w:sz w:val="32"/>
          <w:szCs w:val="32"/>
          <w:rtl/>
          <w:lang w:bidi="ar-SY"/>
        </w:rPr>
        <w:t>دور المدراء الماليون للصندوق السيادي</w:t>
      </w:r>
    </w:p>
    <w:p w:rsidR="006075C1" w:rsidRDefault="006075C1" w:rsidP="006075C1">
      <w:pPr>
        <w:ind w:left="199"/>
        <w:jc w:val="both"/>
        <w:rPr>
          <w:rFonts w:cs="Traditional Arabic"/>
          <w:sz w:val="32"/>
          <w:szCs w:val="32"/>
          <w:rtl/>
          <w:lang w:bidi="ar-SY"/>
        </w:rPr>
      </w:pPr>
      <w:r>
        <w:rPr>
          <w:rFonts w:cs="Traditional Arabic" w:hint="cs"/>
          <w:sz w:val="32"/>
          <w:szCs w:val="32"/>
          <w:rtl/>
          <w:lang w:bidi="ar-SY"/>
        </w:rPr>
        <w:t>للمدراء الماليون في الصناديق السيادية الدور المحوري في رسم استراتيجياتها ولم نقل مدير مالي واحد فقط على اعتبار أن القائمون على هذه الصناديق من مدراء في جميع المستويات هم خبراء ماليون لأن الصندوق السيادي هو صندوق مالي.</w:t>
      </w:r>
    </w:p>
    <w:p w:rsidR="006075C1" w:rsidRDefault="006075C1" w:rsidP="006075C1">
      <w:pPr>
        <w:ind w:left="199"/>
        <w:rPr>
          <w:rFonts w:cs="Traditional Arabic"/>
          <w:sz w:val="32"/>
          <w:szCs w:val="32"/>
          <w:rtl/>
          <w:lang w:bidi="ar-SY"/>
        </w:rPr>
      </w:pPr>
      <w:r>
        <w:rPr>
          <w:rFonts w:cs="Traditional Arabic" w:hint="cs"/>
          <w:sz w:val="32"/>
          <w:szCs w:val="32"/>
          <w:rtl/>
          <w:lang w:bidi="ar-SY"/>
        </w:rPr>
        <w:t>يتجلى دورهم في عدة نقاط يمكن بيانها كالتالي:</w:t>
      </w:r>
    </w:p>
    <w:p w:rsidR="006075C1" w:rsidRDefault="006075C1" w:rsidP="006075C1">
      <w:pPr>
        <w:numPr>
          <w:ilvl w:val="0"/>
          <w:numId w:val="7"/>
        </w:numPr>
        <w:spacing w:after="0" w:line="240" w:lineRule="auto"/>
        <w:rPr>
          <w:rFonts w:cs="Traditional Arabic"/>
          <w:sz w:val="32"/>
          <w:szCs w:val="32"/>
          <w:lang w:bidi="ar-SY"/>
        </w:rPr>
      </w:pPr>
      <w:r>
        <w:rPr>
          <w:rFonts w:cs="Traditional Arabic" w:hint="cs"/>
          <w:sz w:val="32"/>
          <w:szCs w:val="32"/>
          <w:rtl/>
          <w:lang w:bidi="ar-SY"/>
        </w:rPr>
        <w:t xml:space="preserve"> اختيار الدولة التي سيتم فيها استثمار أموال الصناديق من بين عدة دول.</w:t>
      </w:r>
    </w:p>
    <w:p w:rsidR="006075C1" w:rsidRDefault="006075C1" w:rsidP="006075C1">
      <w:pPr>
        <w:numPr>
          <w:ilvl w:val="0"/>
          <w:numId w:val="7"/>
        </w:numPr>
        <w:spacing w:after="0" w:line="240" w:lineRule="auto"/>
        <w:jc w:val="both"/>
        <w:rPr>
          <w:rFonts w:cs="Traditional Arabic"/>
          <w:sz w:val="32"/>
          <w:szCs w:val="32"/>
          <w:lang w:bidi="ar-SY"/>
        </w:rPr>
      </w:pPr>
      <w:r>
        <w:rPr>
          <w:rFonts w:cs="Traditional Arabic" w:hint="cs"/>
          <w:sz w:val="32"/>
          <w:szCs w:val="32"/>
          <w:rtl/>
          <w:lang w:bidi="ar-SY"/>
        </w:rPr>
        <w:t xml:space="preserve"> اختيار قطاعات الأعمال الملائمة التي سوف تضع فيها أموالها ولا شك أن هذه القطاعات سواء حكومية أم خاصة ستكون القطاعات الرائدة في البلد الذي يتم اختياره.</w:t>
      </w:r>
    </w:p>
    <w:p w:rsidR="006075C1" w:rsidRDefault="006075C1" w:rsidP="006075C1">
      <w:pPr>
        <w:numPr>
          <w:ilvl w:val="0"/>
          <w:numId w:val="7"/>
        </w:numPr>
        <w:spacing w:after="0" w:line="240" w:lineRule="auto"/>
        <w:rPr>
          <w:rFonts w:cs="Traditional Arabic"/>
          <w:sz w:val="32"/>
          <w:szCs w:val="32"/>
          <w:lang w:bidi="ar-SY"/>
        </w:rPr>
      </w:pPr>
      <w:r>
        <w:rPr>
          <w:rFonts w:cs="Traditional Arabic" w:hint="cs"/>
          <w:sz w:val="32"/>
          <w:szCs w:val="32"/>
          <w:rtl/>
          <w:lang w:bidi="ar-SY"/>
        </w:rPr>
        <w:t xml:space="preserve"> اختيار الشركات التي ستشاركها الصناديق السيادية أو المشاريع التي تريد تمويلها.</w:t>
      </w:r>
    </w:p>
    <w:p w:rsidR="006075C1" w:rsidRDefault="006075C1" w:rsidP="006075C1">
      <w:pPr>
        <w:jc w:val="both"/>
        <w:rPr>
          <w:rFonts w:cs="Traditional Arabic"/>
          <w:sz w:val="32"/>
          <w:szCs w:val="32"/>
          <w:rtl/>
          <w:lang w:bidi="ar-SY"/>
        </w:rPr>
      </w:pPr>
      <w:r>
        <w:rPr>
          <w:rFonts w:cs="Traditional Arabic" w:hint="cs"/>
          <w:sz w:val="32"/>
          <w:szCs w:val="32"/>
          <w:rtl/>
          <w:lang w:bidi="ar-SY"/>
        </w:rPr>
        <w:t xml:space="preserve">طبعاً في النقاط الثلاثة السابقة سيتم الاختيار وفقاً لدراسة جدوى اقتصادية قوية للمفاضلة بين الدول والقطاعات فيها والمنظمات الناجحة فيها أي أن المدراء الماليون في الصناديق السيادية هم الذين يحددون المكان والزمان والكيفية التي سيتم فيها استثمار أموال الصناديق بما يحقق عوائد استثمارية عالية أي نستطيع القول أن المدراء الماليون في الصناديق السيادية هم المدراء الاستراتيجيون فيها.     </w:t>
      </w:r>
    </w:p>
    <w:p w:rsidR="006075C1" w:rsidRPr="00111017" w:rsidRDefault="006075C1" w:rsidP="006075C1">
      <w:pPr>
        <w:numPr>
          <w:ilvl w:val="0"/>
          <w:numId w:val="6"/>
        </w:numPr>
        <w:tabs>
          <w:tab w:val="right" w:pos="199"/>
        </w:tabs>
        <w:spacing w:after="0" w:line="240" w:lineRule="auto"/>
        <w:ind w:left="-85" w:firstLine="0"/>
        <w:rPr>
          <w:rFonts w:cs="Traditional Arabic"/>
          <w:sz w:val="32"/>
          <w:szCs w:val="32"/>
          <w:lang w:bidi="ar-SY"/>
        </w:rPr>
      </w:pPr>
      <w:r w:rsidRPr="00111017">
        <w:rPr>
          <w:rFonts w:cs="Traditional Arabic" w:hint="cs"/>
          <w:b/>
          <w:bCs/>
          <w:sz w:val="32"/>
          <w:szCs w:val="32"/>
          <w:rtl/>
          <w:lang w:bidi="ar-SY"/>
        </w:rPr>
        <w:t>دور المدراء الماليون في الدول المستقبلة لاستثمارات الصناديق</w:t>
      </w:r>
    </w:p>
    <w:p w:rsidR="006075C1" w:rsidRDefault="006075C1" w:rsidP="006075C1">
      <w:pPr>
        <w:tabs>
          <w:tab w:val="right" w:pos="199"/>
        </w:tabs>
        <w:ind w:left="199"/>
        <w:rPr>
          <w:rFonts w:cs="Traditional Arabic"/>
          <w:sz w:val="32"/>
          <w:szCs w:val="32"/>
          <w:rtl/>
          <w:lang w:bidi="ar-SY"/>
        </w:rPr>
      </w:pPr>
      <w:r>
        <w:rPr>
          <w:rFonts w:cs="Traditional Arabic" w:hint="cs"/>
          <w:sz w:val="32"/>
          <w:szCs w:val="32"/>
          <w:rtl/>
          <w:lang w:bidi="ar-SY"/>
        </w:rPr>
        <w:t>يمكننا دراسة هذا الدور من ناحيتين:</w:t>
      </w:r>
    </w:p>
    <w:p w:rsidR="006075C1" w:rsidRDefault="006075C1" w:rsidP="006075C1">
      <w:pPr>
        <w:numPr>
          <w:ilvl w:val="0"/>
          <w:numId w:val="8"/>
        </w:numPr>
        <w:tabs>
          <w:tab w:val="right" w:pos="199"/>
        </w:tabs>
        <w:spacing w:after="0" w:line="240" w:lineRule="auto"/>
        <w:ind w:left="482"/>
        <w:jc w:val="both"/>
        <w:rPr>
          <w:rFonts w:cs="Traditional Arabic"/>
          <w:sz w:val="32"/>
          <w:szCs w:val="32"/>
          <w:lang w:bidi="ar-SY"/>
        </w:rPr>
      </w:pPr>
      <w:r>
        <w:rPr>
          <w:rFonts w:cs="Traditional Arabic" w:hint="cs"/>
          <w:sz w:val="32"/>
          <w:szCs w:val="32"/>
          <w:rtl/>
          <w:lang w:bidi="ar-SY"/>
        </w:rPr>
        <w:t xml:space="preserve">المدراء الماليون </w:t>
      </w:r>
      <w:r w:rsidRPr="00A51F28">
        <w:rPr>
          <w:rFonts w:cs="Traditional Arabic" w:hint="cs"/>
          <w:b/>
          <w:bCs/>
          <w:sz w:val="32"/>
          <w:szCs w:val="32"/>
          <w:rtl/>
          <w:lang w:bidi="ar-SY"/>
        </w:rPr>
        <w:t>لحكومات</w:t>
      </w:r>
      <w:r>
        <w:rPr>
          <w:rFonts w:cs="Traditional Arabic" w:hint="cs"/>
          <w:sz w:val="32"/>
          <w:szCs w:val="32"/>
          <w:rtl/>
          <w:lang w:bidi="ar-SY"/>
        </w:rPr>
        <w:t xml:space="preserve"> الدول المستقبلة كوزير المالية ووزير الاقتصاد وغيرهم ممن يقوم على الإدارة المالية في الدولة إذ يقومون بدور أساسي من خلال تقديم الفرص الاستثمارية الجيدة في البلد لإدارة الصناديق السيادية , مثلاً في سوريا نتبع سياسة دعم الاستثمار والمستثمرين الخارجيين بالتالي يستطيع من يقوم على عملية الدعم من مدراء ماليين حكوميين بعرض بعض المشاريع الاستثمارية ذات الجدوى الاقتصادية الجيدة على إدارة الصناديق السيادية (كحكوميين) في دولة الإمارات العربية المتحدة أو قطر أو الكويت أو السعودية. مما سبق نلاحظ الدور الكبير للمدراء الماليين لحكومات الدول المستقبلة  في تأمين مستثمرين لمشاريع في بلدهم. </w:t>
      </w:r>
    </w:p>
    <w:p w:rsidR="006075C1" w:rsidRDefault="006075C1" w:rsidP="006075C1">
      <w:pPr>
        <w:numPr>
          <w:ilvl w:val="0"/>
          <w:numId w:val="8"/>
        </w:numPr>
        <w:tabs>
          <w:tab w:val="right" w:pos="199"/>
        </w:tabs>
        <w:spacing w:after="0" w:line="240" w:lineRule="auto"/>
        <w:ind w:left="482"/>
        <w:jc w:val="both"/>
        <w:rPr>
          <w:rFonts w:cs="Traditional Arabic"/>
          <w:sz w:val="32"/>
          <w:szCs w:val="32"/>
          <w:lang w:bidi="ar-SY"/>
        </w:rPr>
      </w:pPr>
      <w:r>
        <w:rPr>
          <w:rFonts w:cs="Traditional Arabic" w:hint="cs"/>
          <w:sz w:val="32"/>
          <w:szCs w:val="32"/>
          <w:rtl/>
          <w:lang w:bidi="ar-SY"/>
        </w:rPr>
        <w:lastRenderedPageBreak/>
        <w:t xml:space="preserve">المدراء الماليون في </w:t>
      </w:r>
      <w:r w:rsidRPr="00161742">
        <w:rPr>
          <w:rFonts w:cs="Traditional Arabic" w:hint="cs"/>
          <w:b/>
          <w:bCs/>
          <w:sz w:val="32"/>
          <w:szCs w:val="32"/>
          <w:rtl/>
          <w:lang w:bidi="ar-SY"/>
        </w:rPr>
        <w:t>الشركات الخاصة</w:t>
      </w:r>
      <w:r>
        <w:rPr>
          <w:rFonts w:cs="Traditional Arabic" w:hint="cs"/>
          <w:sz w:val="32"/>
          <w:szCs w:val="32"/>
          <w:rtl/>
          <w:lang w:bidi="ar-SY"/>
        </w:rPr>
        <w:t xml:space="preserve"> في البلد المستقبل يمكن أن يلعبوا دوراً كبيراً أيضاً في عرض مشاريعهم الناجحة على مدراء الصناديق السيادية لإقناعهم في استثمار أموالهم في هذه الشركات, وغالباً ما تكون هذه الشركات شركات عالمية رائدة في مجال الأعمال حتى يتم استثمار أموال دولة أخرى فيها, ويتجلى دور المدير المالي في منظمته في عملية تمويل استثماراته كأحد مصادر التمويل.</w:t>
      </w:r>
    </w:p>
    <w:p w:rsidR="006075C1" w:rsidRDefault="006075C1" w:rsidP="006075C1">
      <w:pPr>
        <w:jc w:val="both"/>
        <w:rPr>
          <w:rFonts w:ascii="Traditional Arabic" w:eastAsia="Times New Roman" w:hAnsi="Traditional Arabic" w:cs="Traditional Arabic"/>
          <w:sz w:val="32"/>
          <w:szCs w:val="32"/>
          <w:rtl/>
        </w:rPr>
      </w:pPr>
      <w:r>
        <w:rPr>
          <w:rFonts w:cs="Traditional Arabic" w:hint="cs"/>
          <w:sz w:val="32"/>
          <w:szCs w:val="32"/>
          <w:rtl/>
          <w:lang w:bidi="ar-SY"/>
        </w:rPr>
        <w:t>مما سبق نجد أن للمدير المالي الدور الأساسي الذي يؤثر على استراتيجية المنظمات والحكومات في الدول المستقبلة واستراتيجية الصناديق السيادية وبالتالي على الدول المالكة للصناديق السيادية.</w:t>
      </w:r>
    </w:p>
    <w:p w:rsidR="0066658A" w:rsidRDefault="0066658A"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tl/>
        </w:rPr>
      </w:pPr>
    </w:p>
    <w:p w:rsidR="006075C1" w:rsidRDefault="006075C1" w:rsidP="006B712D">
      <w:pPr>
        <w:jc w:val="both"/>
        <w:rPr>
          <w:rFonts w:ascii="Traditional Arabic" w:eastAsia="Times New Roman" w:hAnsi="Traditional Arabic" w:cs="Traditional Arabic"/>
          <w:sz w:val="32"/>
          <w:szCs w:val="32"/>
        </w:rPr>
      </w:pPr>
    </w:p>
    <w:p w:rsidR="009179BE" w:rsidRDefault="009179BE" w:rsidP="006B712D">
      <w:pPr>
        <w:jc w:val="both"/>
        <w:rPr>
          <w:rFonts w:ascii="Traditional Arabic" w:eastAsia="Times New Roman" w:hAnsi="Traditional Arabic" w:cs="Traditional Arabic" w:hint="cs"/>
          <w:sz w:val="32"/>
          <w:szCs w:val="32"/>
          <w:rtl/>
        </w:rPr>
      </w:pPr>
    </w:p>
    <w:p w:rsidR="00CA15E1" w:rsidRPr="006B712D" w:rsidRDefault="00CA15E1" w:rsidP="006B712D">
      <w:pPr>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p>
    <w:p w:rsidR="00B52C5C" w:rsidRDefault="0070287B" w:rsidP="009179BE">
      <w:pPr>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lastRenderedPageBreak/>
        <w:t xml:space="preserve">الفصل الثاني : </w:t>
      </w:r>
      <w:r w:rsidR="00B52C5C" w:rsidRPr="00966167">
        <w:rPr>
          <w:rFonts w:ascii="Traditional Arabic" w:eastAsia="Times New Roman" w:hAnsi="Traditional Arabic" w:cs="Traditional Arabic"/>
          <w:b/>
          <w:bCs/>
          <w:sz w:val="32"/>
          <w:szCs w:val="32"/>
          <w:rtl/>
        </w:rPr>
        <w:t xml:space="preserve">صناديق </w:t>
      </w:r>
      <w:r w:rsidR="00485F25">
        <w:rPr>
          <w:rFonts w:ascii="Traditional Arabic" w:eastAsia="Times New Roman" w:hAnsi="Traditional Arabic" w:cs="Traditional Arabic"/>
          <w:b/>
          <w:bCs/>
          <w:sz w:val="32"/>
          <w:szCs w:val="32"/>
          <w:rtl/>
        </w:rPr>
        <w:t>التحوُّط</w:t>
      </w:r>
      <w:r w:rsidR="0066658A">
        <w:rPr>
          <w:rFonts w:ascii="Traditional Arabic" w:eastAsia="Times New Roman" w:hAnsi="Traditional Arabic" w:cs="Traditional Arabic" w:hint="cs"/>
          <w:b/>
          <w:bCs/>
          <w:sz w:val="32"/>
          <w:szCs w:val="32"/>
          <w:rtl/>
        </w:rPr>
        <w:t xml:space="preserve">                                      </w:t>
      </w:r>
      <w:r w:rsidR="009179BE">
        <w:rPr>
          <w:rFonts w:ascii="Traditional Arabic" w:eastAsia="Times New Roman" w:hAnsi="Traditional Arabic" w:cs="Traditional Arabic"/>
          <w:b/>
          <w:bCs/>
          <w:sz w:val="32"/>
          <w:szCs w:val="32"/>
        </w:rPr>
        <w:t xml:space="preserve">Hedge Funds </w:t>
      </w:r>
      <w:r w:rsidR="0066658A">
        <w:rPr>
          <w:rFonts w:ascii="Traditional Arabic" w:eastAsia="Times New Roman" w:hAnsi="Traditional Arabic" w:cs="Traditional Arabic" w:hint="cs"/>
          <w:b/>
          <w:bCs/>
          <w:sz w:val="32"/>
          <w:szCs w:val="32"/>
          <w:rtl/>
        </w:rPr>
        <w:t xml:space="preserve">         </w:t>
      </w:r>
      <w:r w:rsidR="009179BE">
        <w:rPr>
          <w:rFonts w:ascii="Traditional Arabic" w:eastAsia="Times New Roman" w:hAnsi="Traditional Arabic" w:cs="Traditional Arabic"/>
          <w:b/>
          <w:bCs/>
          <w:sz w:val="32"/>
          <w:szCs w:val="32"/>
        </w:rPr>
        <w:t xml:space="preserve">  </w:t>
      </w:r>
      <w:r w:rsidR="0066658A">
        <w:rPr>
          <w:rFonts w:ascii="Traditional Arabic" w:eastAsia="Times New Roman" w:hAnsi="Traditional Arabic" w:cs="Traditional Arabic" w:hint="cs"/>
          <w:b/>
          <w:bCs/>
          <w:sz w:val="32"/>
          <w:szCs w:val="32"/>
          <w:rtl/>
        </w:rPr>
        <w:t xml:space="preserve"> </w:t>
      </w:r>
      <w:r w:rsidR="009179BE">
        <w:rPr>
          <w:rFonts w:ascii="Traditional Arabic" w:eastAsia="Times New Roman" w:hAnsi="Traditional Arabic" w:cs="Traditional Arabic"/>
          <w:b/>
          <w:bCs/>
          <w:sz w:val="32"/>
          <w:szCs w:val="32"/>
        </w:rPr>
        <w:t xml:space="preserve"> </w:t>
      </w:r>
    </w:p>
    <w:p w:rsidR="00E543C8" w:rsidRPr="00966167" w:rsidRDefault="00E543C8" w:rsidP="00B52C5C">
      <w:pPr>
        <w:jc w:val="both"/>
        <w:rPr>
          <w:rFonts w:ascii="Traditional Arabic" w:eastAsia="Times New Roman" w:hAnsi="Traditional Arabic" w:cs="Traditional Arabic"/>
          <w:rtl/>
        </w:rPr>
      </w:pPr>
      <w:r>
        <w:rPr>
          <w:rFonts w:ascii="Traditional Arabic" w:eastAsia="Times New Roman" w:hAnsi="Traditional Arabic" w:cs="Traditional Arabic" w:hint="cs"/>
          <w:b/>
          <w:bCs/>
          <w:sz w:val="32"/>
          <w:szCs w:val="32"/>
          <w:rtl/>
        </w:rPr>
        <w:t>مقدمة</w:t>
      </w:r>
    </w:p>
    <w:p w:rsidR="00823F46" w:rsidRPr="001B0FBC" w:rsidRDefault="00B52C5C" w:rsidP="001B0FBC">
      <w:pPr>
        <w:jc w:val="both"/>
        <w:rPr>
          <w:rFonts w:ascii="Traditional Arabic" w:eastAsia="Times New Roman" w:hAnsi="Traditional Arabic" w:cs="Traditional Arabic"/>
          <w:sz w:val="32"/>
          <w:szCs w:val="32"/>
          <w:rtl/>
          <w:lang w:bidi="ar-SY"/>
        </w:rPr>
      </w:pPr>
      <w:r w:rsidRPr="00966167">
        <w:rPr>
          <w:rFonts w:ascii="Traditional Arabic" w:eastAsia="Times New Roman" w:hAnsi="Traditional Arabic" w:cs="Traditional Arabic"/>
          <w:sz w:val="32"/>
          <w:szCs w:val="32"/>
          <w:rtl/>
        </w:rPr>
        <w:t xml:space="preserve">ولد أول صندوق تحوط في العام </w:t>
      </w:r>
      <w:r w:rsidRPr="005202E9">
        <w:rPr>
          <w:rFonts w:ascii="Traditional Arabic" w:eastAsia="Times New Roman" w:hAnsi="Traditional Arabic" w:cs="Traditional Arabic"/>
          <w:sz w:val="24"/>
          <w:szCs w:val="24"/>
          <w:rtl/>
        </w:rPr>
        <w:t>1949</w:t>
      </w:r>
      <w:r w:rsidRPr="00966167">
        <w:rPr>
          <w:rFonts w:ascii="Traditional Arabic" w:eastAsia="Times New Roman" w:hAnsi="Traditional Arabic" w:cs="Traditional Arabic"/>
          <w:sz w:val="32"/>
          <w:szCs w:val="32"/>
          <w:rtl/>
        </w:rPr>
        <w:t xml:space="preserve"> على يد </w:t>
      </w:r>
      <w:r w:rsidRPr="00E543C8">
        <w:rPr>
          <w:rFonts w:ascii="Traditional Arabic" w:eastAsia="Times New Roman" w:hAnsi="Traditional Arabic" w:cs="Traditional Arabic"/>
          <w:i/>
          <w:iCs/>
          <w:sz w:val="32"/>
          <w:szCs w:val="32"/>
          <w:rtl/>
        </w:rPr>
        <w:t>الفر</w:t>
      </w:r>
      <w:r w:rsidR="00E543C8" w:rsidRPr="00E543C8">
        <w:rPr>
          <w:rFonts w:ascii="Traditional Arabic" w:eastAsia="Times New Roman" w:hAnsi="Traditional Arabic" w:cs="Traditional Arabic" w:hint="cs"/>
          <w:i/>
          <w:iCs/>
          <w:sz w:val="32"/>
          <w:szCs w:val="32"/>
          <w:rtl/>
        </w:rPr>
        <w:t>ي</w:t>
      </w:r>
      <w:r w:rsidRPr="00E543C8">
        <w:rPr>
          <w:rFonts w:ascii="Traditional Arabic" w:eastAsia="Times New Roman" w:hAnsi="Traditional Arabic" w:cs="Traditional Arabic"/>
          <w:i/>
          <w:iCs/>
          <w:sz w:val="32"/>
          <w:szCs w:val="32"/>
          <w:rtl/>
        </w:rPr>
        <w:t>د وينسلو جونز</w:t>
      </w:r>
      <w:r w:rsidRPr="00966167">
        <w:rPr>
          <w:rFonts w:ascii="Traditional Arabic" w:eastAsia="Times New Roman" w:hAnsi="Traditional Arabic" w:cs="Traditional Arabic"/>
          <w:sz w:val="32"/>
          <w:szCs w:val="32"/>
          <w:rtl/>
        </w:rPr>
        <w:t xml:space="preserve"> عالم الاجتماع عندما كان يعد مقالة</w:t>
      </w:r>
      <w:r w:rsidR="00E543C8">
        <w:rPr>
          <w:rFonts w:ascii="Traditional Arabic" w:eastAsia="Times New Roman" w:hAnsi="Traditional Arabic" w:cs="Traditional Arabic"/>
          <w:sz w:val="32"/>
          <w:szCs w:val="32"/>
          <w:rtl/>
        </w:rPr>
        <w:t xml:space="preserve"> حول أحدث الوسائل المستخدمة في </w:t>
      </w:r>
      <w:r w:rsidRPr="00966167">
        <w:rPr>
          <w:rFonts w:ascii="Traditional Arabic" w:eastAsia="Times New Roman" w:hAnsi="Traditional Arabic" w:cs="Traditional Arabic"/>
          <w:sz w:val="32"/>
          <w:szCs w:val="32"/>
          <w:rtl/>
        </w:rPr>
        <w:t>تحليل أداء الأسواق المالي</w:t>
      </w:r>
      <w:r w:rsidR="00E543C8">
        <w:rPr>
          <w:rFonts w:ascii="Traditional Arabic" w:eastAsia="Times New Roman" w:hAnsi="Traditional Arabic" w:cs="Traditional Arabic"/>
          <w:sz w:val="32"/>
          <w:szCs w:val="32"/>
          <w:rtl/>
        </w:rPr>
        <w:t xml:space="preserve">ة والتنبؤ بتطوراتها لحساب مجلة </w:t>
      </w:r>
      <w:r w:rsidR="00E543C8">
        <w:rPr>
          <w:rFonts w:ascii="Traditional Arabic" w:eastAsia="Times New Roman" w:hAnsi="Traditional Arabic" w:cs="Traditional Arabic" w:hint="cs"/>
          <w:sz w:val="32"/>
          <w:szCs w:val="32"/>
          <w:rtl/>
        </w:rPr>
        <w:t>"</w:t>
      </w:r>
      <w:r w:rsidR="00E543C8">
        <w:rPr>
          <w:rFonts w:ascii="Traditional Arabic" w:eastAsia="Times New Roman" w:hAnsi="Traditional Arabic" w:cs="Traditional Arabic"/>
          <w:sz w:val="32"/>
          <w:szCs w:val="32"/>
          <w:rtl/>
        </w:rPr>
        <w:t>فورتشن</w:t>
      </w:r>
      <w:r w:rsidR="00E543C8">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حيث توصل إلى آلية تمكنه</w:t>
      </w:r>
      <w:r w:rsidR="00E543C8">
        <w:rPr>
          <w:rFonts w:ascii="Traditional Arabic" w:eastAsia="Times New Roman" w:hAnsi="Traditional Arabic" w:cs="Traditional Arabic"/>
          <w:sz w:val="32"/>
          <w:szCs w:val="32"/>
          <w:rtl/>
        </w:rPr>
        <w:t xml:space="preserve"> من تحقيق عوائد أعلى مما يحققه </w:t>
      </w:r>
      <w:r w:rsidRPr="00966167">
        <w:rPr>
          <w:rFonts w:ascii="Traditional Arabic" w:eastAsia="Times New Roman" w:hAnsi="Traditional Arabic" w:cs="Traditional Arabic"/>
          <w:sz w:val="32"/>
          <w:szCs w:val="32"/>
          <w:rtl/>
        </w:rPr>
        <w:t>المحترفون وكانت إ</w:t>
      </w:r>
      <w:r w:rsidR="00E543C8">
        <w:rPr>
          <w:rFonts w:ascii="Traditional Arabic" w:eastAsia="Times New Roman" w:hAnsi="Traditional Arabic" w:cs="Traditional Arabic"/>
          <w:sz w:val="32"/>
          <w:szCs w:val="32"/>
          <w:rtl/>
        </w:rPr>
        <w:t>ستراتيجيته تقوم على المتاجرة في</w:t>
      </w:r>
      <w:r w:rsidR="00E543C8">
        <w:rPr>
          <w:rFonts w:ascii="Traditional Arabic" w:eastAsia="Times New Roman" w:hAnsi="Traditional Arabic" w:cs="Traditional Arabic" w:hint="cs"/>
          <w:sz w:val="32"/>
          <w:szCs w:val="32"/>
          <w:rtl/>
        </w:rPr>
        <w:t xml:space="preserve"> </w:t>
      </w:r>
      <w:r w:rsidR="00E543C8">
        <w:rPr>
          <w:rFonts w:ascii="Traditional Arabic" w:eastAsia="Times New Roman" w:hAnsi="Traditional Arabic" w:cs="Traditional Arabic"/>
          <w:sz w:val="32"/>
          <w:szCs w:val="32"/>
          <w:rtl/>
        </w:rPr>
        <w:t xml:space="preserve">الأسهم بناء </w:t>
      </w:r>
      <w:r w:rsidRPr="00966167">
        <w:rPr>
          <w:rFonts w:ascii="Traditional Arabic" w:eastAsia="Times New Roman" w:hAnsi="Traditional Arabic" w:cs="Traditional Arabic"/>
          <w:sz w:val="32"/>
          <w:szCs w:val="32"/>
          <w:rtl/>
        </w:rPr>
        <w:t>على مركزين ماليين</w:t>
      </w:r>
      <w:r w:rsidR="00E543C8">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 xml:space="preserve"> طويل الأجل ب</w:t>
      </w:r>
      <w:r w:rsidR="00E543C8">
        <w:rPr>
          <w:rFonts w:ascii="Traditional Arabic" w:eastAsia="Times New Roman" w:hAnsi="Traditional Arabic" w:cs="Traditional Arabic"/>
          <w:sz w:val="32"/>
          <w:szCs w:val="32"/>
          <w:rtl/>
        </w:rPr>
        <w:t xml:space="preserve">حيث يشتري الأسهم التي يتوقع أن </w:t>
      </w:r>
      <w:r w:rsidRPr="00966167">
        <w:rPr>
          <w:rFonts w:ascii="Traditional Arabic" w:eastAsia="Times New Roman" w:hAnsi="Traditional Arabic" w:cs="Traditional Arabic"/>
          <w:sz w:val="32"/>
          <w:szCs w:val="32"/>
          <w:rtl/>
        </w:rPr>
        <w:t xml:space="preserve">ترتفع ويحتفظ بها إلى أن يبيعها </w:t>
      </w:r>
      <w:r w:rsidR="00E543C8">
        <w:rPr>
          <w:rFonts w:ascii="Traditional Arabic" w:eastAsia="Times New Roman" w:hAnsi="Traditional Arabic" w:cs="Traditional Arabic"/>
          <w:sz w:val="32"/>
          <w:szCs w:val="32"/>
          <w:rtl/>
        </w:rPr>
        <w:t xml:space="preserve">بالثمن المتوقع وقصير الأجل وهو </w:t>
      </w:r>
      <w:r w:rsidRPr="00966167">
        <w:rPr>
          <w:rFonts w:ascii="Traditional Arabic" w:eastAsia="Times New Roman" w:hAnsi="Traditional Arabic" w:cs="Traditional Arabic"/>
          <w:sz w:val="32"/>
          <w:szCs w:val="32"/>
          <w:rtl/>
        </w:rPr>
        <w:t>ما يسمى «</w:t>
      </w:r>
      <w:r w:rsidRPr="00966167">
        <w:rPr>
          <w:rFonts w:ascii="Traditional Arabic" w:eastAsia="Times New Roman" w:hAnsi="Traditional Arabic" w:cs="Traditional Arabic"/>
          <w:sz w:val="32"/>
          <w:szCs w:val="32"/>
        </w:rPr>
        <w:t>short selling</w:t>
      </w:r>
      <w:r w:rsidRPr="00966167">
        <w:rPr>
          <w:rFonts w:ascii="Traditional Arabic" w:eastAsia="Times New Roman" w:hAnsi="Traditional Arabic" w:cs="Traditional Arabic"/>
          <w:sz w:val="32"/>
          <w:szCs w:val="32"/>
          <w:rtl/>
        </w:rPr>
        <w:t>» أو ال</w:t>
      </w:r>
      <w:r w:rsidR="00E543C8">
        <w:rPr>
          <w:rFonts w:ascii="Traditional Arabic" w:eastAsia="Times New Roman" w:hAnsi="Traditional Arabic" w:cs="Traditional Arabic"/>
          <w:sz w:val="32"/>
          <w:szCs w:val="32"/>
          <w:rtl/>
        </w:rPr>
        <w:t xml:space="preserve">بيع على المكشوف بحيث يبيع أسهم </w:t>
      </w:r>
      <w:r w:rsidRPr="00966167">
        <w:rPr>
          <w:rFonts w:ascii="Traditional Arabic" w:eastAsia="Times New Roman" w:hAnsi="Traditional Arabic" w:cs="Traditional Arabic"/>
          <w:sz w:val="32"/>
          <w:szCs w:val="32"/>
          <w:rtl/>
        </w:rPr>
        <w:t>يتوقع انخفاضها ليعيد شرائها ف</w:t>
      </w:r>
      <w:r w:rsidR="00E543C8">
        <w:rPr>
          <w:rFonts w:ascii="Traditional Arabic" w:eastAsia="Times New Roman" w:hAnsi="Traditional Arabic" w:cs="Traditional Arabic"/>
          <w:sz w:val="32"/>
          <w:szCs w:val="32"/>
          <w:rtl/>
        </w:rPr>
        <w:t>ي وقت لاحق مع استخدام الاقتراض للاستثمار في أدوات مالية تدر</w:t>
      </w:r>
      <w:r w:rsidR="00E543C8">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عا</w:t>
      </w:r>
      <w:r w:rsidR="00E543C8">
        <w:rPr>
          <w:rFonts w:ascii="Traditional Arabic" w:eastAsia="Times New Roman" w:hAnsi="Traditional Arabic" w:cs="Traditional Arabic"/>
          <w:sz w:val="32"/>
          <w:szCs w:val="32"/>
          <w:rtl/>
        </w:rPr>
        <w:t>ئدا</w:t>
      </w:r>
      <w:r w:rsidR="00E543C8">
        <w:rPr>
          <w:rFonts w:ascii="Traditional Arabic" w:eastAsia="Times New Roman" w:hAnsi="Traditional Arabic" w:cs="Traditional Arabic" w:hint="cs"/>
          <w:sz w:val="32"/>
          <w:szCs w:val="32"/>
          <w:rtl/>
        </w:rPr>
        <w:t>ً</w:t>
      </w:r>
      <w:r w:rsidR="00E543C8">
        <w:rPr>
          <w:rFonts w:ascii="Traditional Arabic" w:eastAsia="Times New Roman" w:hAnsi="Traditional Arabic" w:cs="Traditional Arabic"/>
          <w:sz w:val="32"/>
          <w:szCs w:val="32"/>
          <w:rtl/>
        </w:rPr>
        <w:t xml:space="preserve"> أعلى من سعر فائدة الاقتراض </w:t>
      </w:r>
      <w:r w:rsidRPr="00966167">
        <w:rPr>
          <w:rFonts w:ascii="Traditional Arabic" w:eastAsia="Times New Roman" w:hAnsi="Traditional Arabic" w:cs="Traditional Arabic"/>
          <w:sz w:val="32"/>
          <w:szCs w:val="32"/>
          <w:rtl/>
        </w:rPr>
        <w:t>وهو ما يسمى الرفع ال</w:t>
      </w:r>
      <w:r w:rsidR="00E543C8">
        <w:rPr>
          <w:rFonts w:ascii="Traditional Arabic" w:eastAsia="Times New Roman" w:hAnsi="Traditional Arabic" w:cs="Traditional Arabic"/>
          <w:sz w:val="32"/>
          <w:szCs w:val="32"/>
          <w:rtl/>
        </w:rPr>
        <w:t xml:space="preserve">مالي وما تزال هذه الآليات من </w:t>
      </w:r>
      <w:r w:rsidR="00E543C8">
        <w:rPr>
          <w:rFonts w:ascii="Traditional Arabic" w:eastAsia="Times New Roman" w:hAnsi="Traditional Arabic" w:cs="Traditional Arabic" w:hint="cs"/>
          <w:sz w:val="32"/>
          <w:szCs w:val="32"/>
          <w:rtl/>
        </w:rPr>
        <w:t>أ</w:t>
      </w:r>
      <w:r w:rsidRPr="00966167">
        <w:rPr>
          <w:rFonts w:ascii="Traditional Arabic" w:eastAsia="Times New Roman" w:hAnsi="Traditional Arabic" w:cs="Traditional Arabic"/>
          <w:sz w:val="32"/>
          <w:szCs w:val="32"/>
          <w:rtl/>
        </w:rPr>
        <w:t xml:space="preserve">خص خصائص </w:t>
      </w:r>
      <w:r w:rsidRPr="00966167">
        <w:rPr>
          <w:rFonts w:ascii="Traditional Arabic" w:eastAsia="Times New Roman" w:hAnsi="Traditional Arabic" w:cs="Traditional Arabic"/>
          <w:sz w:val="32"/>
          <w:szCs w:val="32"/>
          <w:rtl/>
        </w:rPr>
        <w:br/>
        <w:t xml:space="preserve">صناديق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في عصرنا هذا </w:t>
      </w:r>
      <w:r w:rsidR="00E543C8">
        <w:rPr>
          <w:rFonts w:ascii="Traditional Arabic" w:eastAsia="Times New Roman" w:hAnsi="Traditional Arabic" w:cs="Traditional Arabic"/>
          <w:sz w:val="32"/>
          <w:szCs w:val="32"/>
          <w:rtl/>
        </w:rPr>
        <w:t xml:space="preserve">مع محاولة التطوير والابتكار في </w:t>
      </w:r>
      <w:r w:rsidRPr="00966167">
        <w:rPr>
          <w:rFonts w:ascii="Traditional Arabic" w:eastAsia="Times New Roman" w:hAnsi="Traditional Arabic" w:cs="Traditional Arabic"/>
          <w:sz w:val="32"/>
          <w:szCs w:val="32"/>
          <w:rtl/>
        </w:rPr>
        <w:t>آليات الاستثمار من قبل م</w:t>
      </w:r>
      <w:r w:rsidR="00E543C8">
        <w:rPr>
          <w:rFonts w:ascii="Traditional Arabic" w:eastAsia="Times New Roman" w:hAnsi="Traditional Arabic" w:cs="Traditional Arabic"/>
          <w:sz w:val="32"/>
          <w:szCs w:val="32"/>
          <w:rtl/>
        </w:rPr>
        <w:t xml:space="preserve">ديري هذه الصناديق لإيجاد آليات </w:t>
      </w:r>
      <w:r w:rsidRPr="00966167">
        <w:rPr>
          <w:rFonts w:ascii="Traditional Arabic" w:eastAsia="Times New Roman" w:hAnsi="Traditional Arabic" w:cs="Traditional Arabic"/>
          <w:sz w:val="32"/>
          <w:szCs w:val="32"/>
          <w:rtl/>
        </w:rPr>
        <w:t>استثمارية تحقق عائدا</w:t>
      </w:r>
      <w:r w:rsidR="00E543C8">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عاليا</w:t>
      </w:r>
      <w:r w:rsidR="00E543C8">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مع مخ</w:t>
      </w:r>
      <w:r w:rsidR="00E543C8">
        <w:rPr>
          <w:rFonts w:ascii="Traditional Arabic" w:eastAsia="Times New Roman" w:hAnsi="Traditional Arabic" w:cs="Traditional Arabic"/>
          <w:sz w:val="32"/>
          <w:szCs w:val="32"/>
          <w:rtl/>
        </w:rPr>
        <w:t xml:space="preserve">اطر مقبولة ومحاولة إيجاد آليات </w:t>
      </w:r>
      <w:r w:rsidRPr="00966167">
        <w:rPr>
          <w:rFonts w:ascii="Traditional Arabic" w:eastAsia="Times New Roman" w:hAnsi="Traditional Arabic" w:cs="Traditional Arabic"/>
          <w:sz w:val="32"/>
          <w:szCs w:val="32"/>
          <w:rtl/>
        </w:rPr>
        <w:t xml:space="preserve">لتحييد هذه المخاطر ويبلغ عدد صناديق </w:t>
      </w:r>
      <w:r w:rsidR="00485F25">
        <w:rPr>
          <w:rFonts w:ascii="Traditional Arabic" w:eastAsia="Times New Roman" w:hAnsi="Traditional Arabic" w:cs="Traditional Arabic"/>
          <w:sz w:val="32"/>
          <w:szCs w:val="32"/>
          <w:rtl/>
        </w:rPr>
        <w:t>التحوُّط</w:t>
      </w:r>
      <w:r w:rsidR="00E543C8">
        <w:rPr>
          <w:rFonts w:ascii="Traditional Arabic" w:eastAsia="Times New Roman" w:hAnsi="Traditional Arabic" w:cs="Traditional Arabic"/>
          <w:sz w:val="32"/>
          <w:szCs w:val="32"/>
          <w:rtl/>
        </w:rPr>
        <w:t xml:space="preserve"> الموجودة في العالم </w:t>
      </w:r>
      <w:r w:rsidR="00E543C8" w:rsidRPr="005202E9">
        <w:rPr>
          <w:rFonts w:ascii="Traditional Arabic" w:eastAsia="Times New Roman" w:hAnsi="Traditional Arabic" w:cs="Traditional Arabic" w:hint="cs"/>
          <w:sz w:val="24"/>
          <w:szCs w:val="24"/>
          <w:rtl/>
        </w:rPr>
        <w:t>10</w:t>
      </w:r>
      <w:r w:rsidR="00E543C8">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آلاف صندوق تقريبا</w:t>
      </w:r>
      <w:r w:rsidR="00E543C8">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تدير </w:t>
      </w:r>
      <w:r w:rsidRPr="005202E9">
        <w:rPr>
          <w:rFonts w:ascii="Traditional Arabic" w:eastAsia="Times New Roman" w:hAnsi="Traditional Arabic" w:cs="Traditional Arabic"/>
          <w:sz w:val="24"/>
          <w:szCs w:val="24"/>
          <w:rtl/>
        </w:rPr>
        <w:t>1</w:t>
      </w:r>
      <w:r w:rsidR="00E543C8" w:rsidRPr="005202E9">
        <w:rPr>
          <w:rFonts w:ascii="Traditional Arabic" w:eastAsia="Times New Roman" w:hAnsi="Traditional Arabic" w:cs="Traditional Arabic"/>
          <w:sz w:val="24"/>
          <w:szCs w:val="24"/>
          <w:rtl/>
        </w:rPr>
        <w:t>.3</w:t>
      </w:r>
      <w:r w:rsidR="00E543C8">
        <w:rPr>
          <w:rFonts w:ascii="Traditional Arabic" w:eastAsia="Times New Roman" w:hAnsi="Traditional Arabic" w:cs="Traditional Arabic"/>
          <w:sz w:val="32"/>
          <w:szCs w:val="32"/>
          <w:rtl/>
        </w:rPr>
        <w:t xml:space="preserve"> تريليون دولار وتعتبر صناديق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من أسرع </w:t>
      </w:r>
      <w:r w:rsidR="001B0FBC">
        <w:rPr>
          <w:rFonts w:ascii="Traditional Arabic" w:eastAsia="Times New Roman" w:hAnsi="Traditional Arabic" w:cs="Traditional Arabic"/>
          <w:sz w:val="32"/>
          <w:szCs w:val="32"/>
          <w:rtl/>
        </w:rPr>
        <w:t>الأدوات المالية نمواً في العالم</w:t>
      </w:r>
      <w:r w:rsidR="001B0FBC">
        <w:rPr>
          <w:rFonts w:ascii="Traditional Arabic" w:eastAsia="Times New Roman" w:hAnsi="Traditional Arabic" w:cs="Traditional Arabic" w:hint="cs"/>
          <w:sz w:val="32"/>
          <w:szCs w:val="32"/>
          <w:rtl/>
        </w:rPr>
        <w:t>.</w:t>
      </w:r>
    </w:p>
    <w:p w:rsidR="00E543C8" w:rsidRPr="00F839E3" w:rsidRDefault="00E543C8" w:rsidP="00E543C8">
      <w:pPr>
        <w:jc w:val="both"/>
        <w:rPr>
          <w:rFonts w:ascii="Traditional Arabic" w:hAnsi="Traditional Arabic" w:cs="Traditional Arabic"/>
          <w:rtl/>
        </w:rPr>
      </w:pPr>
      <w:r w:rsidRPr="00E543C8">
        <w:rPr>
          <w:rFonts w:ascii="Traditional Arabic" w:eastAsia="Times New Roman" w:hAnsi="Traditional Arabic" w:cs="Traditional Arabic" w:hint="cs"/>
          <w:b/>
          <w:bCs/>
          <w:sz w:val="32"/>
          <w:szCs w:val="32"/>
          <w:rtl/>
        </w:rPr>
        <w:t>تعريف</w:t>
      </w:r>
      <w:r>
        <w:rPr>
          <w:rFonts w:ascii="Traditional Arabic" w:hAnsi="Traditional Arabic" w:cs="Traditional Arabic" w:hint="cs"/>
          <w:sz w:val="32"/>
          <w:szCs w:val="32"/>
          <w:rtl/>
        </w:rPr>
        <w:t xml:space="preserve"> </w:t>
      </w:r>
      <w:r w:rsidRPr="00E543C8">
        <w:rPr>
          <w:rFonts w:ascii="Traditional Arabic" w:eastAsia="Times New Roman" w:hAnsi="Traditional Arabic" w:cs="Traditional Arabic"/>
          <w:b/>
          <w:bCs/>
          <w:sz w:val="32"/>
          <w:szCs w:val="32"/>
          <w:rtl/>
        </w:rPr>
        <w:t>صناديق</w:t>
      </w:r>
      <w:r w:rsidRPr="00F839E3">
        <w:rPr>
          <w:rFonts w:ascii="Traditional Arabic" w:hAnsi="Traditional Arabic" w:cs="Traditional Arabic"/>
          <w:sz w:val="32"/>
          <w:szCs w:val="32"/>
          <w:rtl/>
        </w:rPr>
        <w:t xml:space="preserve"> </w:t>
      </w:r>
      <w:r w:rsidRPr="00E543C8">
        <w:rPr>
          <w:rFonts w:ascii="Traditional Arabic" w:eastAsia="Times New Roman" w:hAnsi="Traditional Arabic" w:cs="Traditional Arabic"/>
          <w:b/>
          <w:bCs/>
          <w:sz w:val="32"/>
          <w:szCs w:val="32"/>
          <w:rtl/>
        </w:rPr>
        <w:t>التحوُّط</w:t>
      </w:r>
      <w:r w:rsidRPr="00F839E3">
        <w:rPr>
          <w:rFonts w:ascii="Traditional Arabic" w:hAnsi="Traditional Arabic" w:cs="Traditional Arabic"/>
          <w:sz w:val="32"/>
          <w:szCs w:val="32"/>
          <w:rtl/>
        </w:rPr>
        <w:t xml:space="preserve"> </w:t>
      </w:r>
      <w:r w:rsidR="00823F46">
        <w:rPr>
          <w:rStyle w:val="a8"/>
          <w:rFonts w:ascii="Traditional Arabic" w:hAnsi="Traditional Arabic" w:cs="Traditional Arabic"/>
          <w:sz w:val="32"/>
          <w:szCs w:val="32"/>
          <w:rtl/>
        </w:rPr>
        <w:footnoteReference w:id="6"/>
      </w:r>
    </w:p>
    <w:p w:rsidR="00E543C8" w:rsidRDefault="00B52C5C" w:rsidP="00E543C8">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صندوق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هو وعاء استثماري يضم عددا</w:t>
      </w:r>
      <w:r w:rsidR="00E543C8">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من المستثمرين لا يز</w:t>
      </w:r>
      <w:r w:rsidR="00E543C8">
        <w:rPr>
          <w:rFonts w:ascii="Traditional Arabic" w:eastAsia="Times New Roman" w:hAnsi="Traditional Arabic" w:cs="Traditional Arabic"/>
          <w:sz w:val="32"/>
          <w:szCs w:val="32"/>
          <w:rtl/>
        </w:rPr>
        <w:t>يد غالباً عن نحو خمسمائة مستثمر</w:t>
      </w:r>
      <w:r w:rsidR="00E543C8">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قيمة الاشتراك في الصندوق ضخمة إذ تتراوح عادة ما بين ن</w:t>
      </w:r>
      <w:r w:rsidR="00E543C8">
        <w:rPr>
          <w:rFonts w:ascii="Traditional Arabic" w:eastAsia="Times New Roman" w:hAnsi="Traditional Arabic" w:cs="Traditional Arabic"/>
          <w:sz w:val="32"/>
          <w:szCs w:val="32"/>
          <w:rtl/>
        </w:rPr>
        <w:t>صف مليون ومليون دولار كحد أدنى</w:t>
      </w:r>
      <w:r w:rsidR="00E543C8">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br/>
        <w:t>فلسفة الصندوق تقوم على ضمان تحقيق ربح للمستثمر فيه بصرف النظر عما قد</w:t>
      </w:r>
      <w:r w:rsidR="00E543C8">
        <w:rPr>
          <w:rFonts w:ascii="Traditional Arabic" w:eastAsia="Times New Roman" w:hAnsi="Traditional Arabic" w:cs="Traditional Arabic"/>
          <w:sz w:val="32"/>
          <w:szCs w:val="32"/>
          <w:rtl/>
        </w:rPr>
        <w:t xml:space="preserve"> يحدث في أسواق العالم من تقلبات</w:t>
      </w:r>
      <w:r w:rsidR="00E543C8">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وليس هناك أي قيود على مدير الصندوق من الجهات المنظمة وهذه من النقاط القوية التي تؤخذ عليها. </w:t>
      </w:r>
    </w:p>
    <w:p w:rsidR="00454972" w:rsidRDefault="00E543C8" w:rsidP="00454972">
      <w:pPr>
        <w:rPr>
          <w:rFonts w:ascii="Traditional Arabic" w:eastAsia="Times New Roman" w:hAnsi="Traditional Arabic" w:cs="Traditional Arabic"/>
          <w:rtl/>
        </w:rPr>
      </w:pPr>
      <w:r>
        <w:rPr>
          <w:rFonts w:ascii="Traditional Arabic" w:eastAsia="Times New Roman" w:hAnsi="Traditional Arabic" w:cs="Traditional Arabic"/>
          <w:sz w:val="32"/>
          <w:szCs w:val="32"/>
          <w:rtl/>
        </w:rPr>
        <w:t>السبب الرئيسي</w:t>
      </w:r>
      <w:r>
        <w:rPr>
          <w:rFonts w:ascii="Traditional Arabic" w:eastAsia="Times New Roman" w:hAnsi="Traditional Arabic" w:cs="Traditional Arabic" w:hint="cs"/>
          <w:sz w:val="32"/>
          <w:szCs w:val="32"/>
          <w:rtl/>
        </w:rPr>
        <w:t xml:space="preserve"> لتسميتها بهذا الاسم</w:t>
      </w:r>
      <w:r w:rsidR="00B52C5C" w:rsidRPr="00966167">
        <w:rPr>
          <w:rFonts w:ascii="Traditional Arabic" w:eastAsia="Times New Roman" w:hAnsi="Traditional Arabic" w:cs="Traditional Arabic"/>
          <w:sz w:val="32"/>
          <w:szCs w:val="32"/>
          <w:rtl/>
        </w:rPr>
        <w:t xml:space="preserve"> هو أنها تتبنى إستراتيجية استثمارية تهدف إلى </w:t>
      </w:r>
      <w:r w:rsidR="00485F25">
        <w:rPr>
          <w:rFonts w:ascii="Traditional Arabic" w:eastAsia="Times New Roman" w:hAnsi="Traditional Arabic" w:cs="Traditional Arabic"/>
          <w:sz w:val="32"/>
          <w:szCs w:val="32"/>
          <w:rtl/>
        </w:rPr>
        <w:t>التحوُّط</w:t>
      </w:r>
      <w:r w:rsidR="00B52C5C" w:rsidRPr="00966167">
        <w:rPr>
          <w:rFonts w:ascii="Traditional Arabic" w:eastAsia="Times New Roman" w:hAnsi="Traditional Arabic" w:cs="Traditional Arabic"/>
          <w:sz w:val="32"/>
          <w:szCs w:val="32"/>
          <w:rtl/>
        </w:rPr>
        <w:t xml:space="preserve"> أو ال</w:t>
      </w:r>
      <w:r w:rsidR="00454972">
        <w:rPr>
          <w:rFonts w:ascii="Traditional Arabic" w:eastAsia="Times New Roman" w:hAnsi="Traditional Arabic" w:cs="Traditional Arabic"/>
          <w:sz w:val="32"/>
          <w:szCs w:val="32"/>
          <w:rtl/>
        </w:rPr>
        <w:t>حيطة من مخاطر التعرض لأي خسائر.</w:t>
      </w:r>
      <w:r w:rsidR="00B52C5C" w:rsidRPr="00966167">
        <w:rPr>
          <w:rFonts w:ascii="Traditional Arabic" w:eastAsia="Times New Roman" w:hAnsi="Traditional Arabic" w:cs="Traditional Arabic"/>
          <w:sz w:val="32"/>
          <w:szCs w:val="32"/>
          <w:rtl/>
        </w:rPr>
        <w:br/>
      </w:r>
      <w:r w:rsidR="00B52C5C" w:rsidRPr="00966167">
        <w:rPr>
          <w:rFonts w:ascii="Traditional Arabic" w:eastAsia="Times New Roman" w:hAnsi="Traditional Arabic" w:cs="Traditional Arabic"/>
          <w:sz w:val="32"/>
          <w:szCs w:val="32"/>
          <w:rtl/>
        </w:rPr>
        <w:lastRenderedPageBreak/>
        <w:t>أما مديرو هذه الصناديق فهم عادة من أغنى أغنياء العالم لأنهم ببساطة يحصلون على نسبة من الأصول وهامش كبير من الأرباح.</w:t>
      </w:r>
    </w:p>
    <w:p w:rsidR="00B52C5C" w:rsidRPr="00966167" w:rsidRDefault="00B52C5C" w:rsidP="00454972">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بلغ حجم الاستثمارات الحكومية والأفراد فيها خلال العام الماضي خمسة وستين مليار دولار ومن المتوقع </w:t>
      </w:r>
      <w:r w:rsidR="00454972" w:rsidRPr="00966167">
        <w:rPr>
          <w:rFonts w:ascii="Traditional Arabic" w:eastAsia="Times New Roman" w:hAnsi="Traditional Arabic" w:cs="Traditional Arabic" w:hint="cs"/>
          <w:sz w:val="32"/>
          <w:szCs w:val="32"/>
          <w:rtl/>
        </w:rPr>
        <w:t>أن</w:t>
      </w:r>
      <w:r w:rsidRPr="00966167">
        <w:rPr>
          <w:rFonts w:ascii="Traditional Arabic" w:eastAsia="Times New Roman" w:hAnsi="Traditional Arabic" w:cs="Traditional Arabic"/>
          <w:sz w:val="32"/>
          <w:szCs w:val="32"/>
          <w:rtl/>
        </w:rPr>
        <w:t xml:space="preserve"> تصل إلى مائة وأربعين مليار دولار في عام </w:t>
      </w:r>
      <w:r w:rsidRPr="005202E9">
        <w:rPr>
          <w:rFonts w:ascii="Traditional Arabic" w:eastAsia="Times New Roman" w:hAnsi="Traditional Arabic" w:cs="Traditional Arabic"/>
          <w:sz w:val="24"/>
          <w:szCs w:val="24"/>
        </w:rPr>
        <w:t>2010</w:t>
      </w:r>
      <w:r w:rsidRPr="00966167">
        <w:rPr>
          <w:rFonts w:ascii="Traditional Arabic" w:eastAsia="Times New Roman" w:hAnsi="Traditional Arabic" w:cs="Traditional Arabic"/>
          <w:sz w:val="32"/>
          <w:szCs w:val="32"/>
          <w:rtl/>
        </w:rPr>
        <w:t>. </w:t>
      </w:r>
    </w:p>
    <w:p w:rsidR="00B52C5C" w:rsidRPr="00966167" w:rsidRDefault="00454972" w:rsidP="00B52C5C">
      <w:pPr>
        <w:jc w:val="both"/>
        <w:rPr>
          <w:rFonts w:ascii="Traditional Arabic" w:eastAsia="Times New Roman" w:hAnsi="Traditional Arabic" w:cs="Traditional Arabic"/>
          <w:rtl/>
        </w:rPr>
      </w:pPr>
      <w:r>
        <w:rPr>
          <w:rFonts w:ascii="Traditional Arabic" w:eastAsia="Times New Roman" w:hAnsi="Traditional Arabic" w:cs="Traditional Arabic" w:hint="cs"/>
          <w:b/>
          <w:bCs/>
          <w:sz w:val="32"/>
          <w:szCs w:val="32"/>
          <w:rtl/>
        </w:rPr>
        <w:t>خصائص</w:t>
      </w:r>
      <w:r w:rsidR="00E543C8">
        <w:rPr>
          <w:rFonts w:ascii="Traditional Arabic" w:eastAsia="Times New Roman" w:hAnsi="Traditional Arabic" w:cs="Traditional Arabic"/>
          <w:b/>
          <w:bCs/>
          <w:sz w:val="32"/>
          <w:szCs w:val="32"/>
          <w:rtl/>
        </w:rPr>
        <w:t> </w:t>
      </w:r>
      <w:r w:rsidR="00B52C5C" w:rsidRPr="00966167">
        <w:rPr>
          <w:rFonts w:ascii="Traditional Arabic" w:eastAsia="Times New Roman" w:hAnsi="Traditional Arabic" w:cs="Traditional Arabic"/>
          <w:b/>
          <w:bCs/>
          <w:sz w:val="32"/>
          <w:szCs w:val="32"/>
          <w:rtl/>
        </w:rPr>
        <w:t xml:space="preserve">صناديق </w:t>
      </w:r>
      <w:r w:rsidR="00485F25">
        <w:rPr>
          <w:rFonts w:ascii="Traditional Arabic" w:eastAsia="Times New Roman" w:hAnsi="Traditional Arabic" w:cs="Traditional Arabic"/>
          <w:b/>
          <w:bCs/>
          <w:sz w:val="32"/>
          <w:szCs w:val="32"/>
          <w:rtl/>
        </w:rPr>
        <w:t>التحوُّط</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lang w:bidi="ar-SY"/>
        </w:rPr>
        <w:t> </w:t>
      </w:r>
      <w:r w:rsidRPr="00966167">
        <w:rPr>
          <w:rFonts w:ascii="Traditional Arabic" w:eastAsia="Times New Roman" w:hAnsi="Traditional Arabic" w:cs="Traditional Arabic"/>
          <w:sz w:val="32"/>
          <w:szCs w:val="32"/>
          <w:rtl/>
        </w:rPr>
        <w:t xml:space="preserve">وتعد صناديق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من أسرع الأدوات المالية نمواً في العالم وأهم ما يميز صناديق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عن صناديق الاستثمار الأخرى:‏</w:t>
      </w:r>
      <w:r w:rsidRPr="00966167">
        <w:rPr>
          <w:rFonts w:ascii="Traditional Arabic" w:eastAsia="Times New Roman" w:hAnsi="Traditional Arabic" w:cs="Traditional Arabic"/>
          <w:sz w:val="32"/>
          <w:szCs w:val="32"/>
        </w:rPr>
        <w:t xml:space="preserve"> </w:t>
      </w:r>
    </w:p>
    <w:p w:rsidR="00B52C5C" w:rsidRPr="00454972" w:rsidRDefault="00B52C5C" w:rsidP="00454972">
      <w:pPr>
        <w:pStyle w:val="a3"/>
        <w:numPr>
          <w:ilvl w:val="0"/>
          <w:numId w:val="4"/>
        </w:numPr>
        <w:jc w:val="both"/>
        <w:rPr>
          <w:rFonts w:ascii="Traditional Arabic" w:hAnsi="Traditional Arabic" w:cs="Traditional Arabic"/>
          <w:rtl/>
        </w:rPr>
      </w:pPr>
      <w:r w:rsidRPr="00454972">
        <w:rPr>
          <w:rFonts w:ascii="Traditional Arabic" w:hAnsi="Traditional Arabic" w:cs="Traditional Arabic" w:hint="cs"/>
          <w:sz w:val="32"/>
          <w:szCs w:val="32"/>
          <w:rtl/>
        </w:rPr>
        <w:t xml:space="preserve">صناديق </w:t>
      </w:r>
      <w:r w:rsidR="00485F25" w:rsidRPr="00454972">
        <w:rPr>
          <w:rFonts w:ascii="Traditional Arabic" w:hAnsi="Traditional Arabic" w:cs="Traditional Arabic"/>
          <w:sz w:val="32"/>
          <w:szCs w:val="32"/>
          <w:rtl/>
        </w:rPr>
        <w:t>التحوُّط</w:t>
      </w:r>
      <w:r w:rsidRPr="00454972">
        <w:rPr>
          <w:rFonts w:ascii="Traditional Arabic" w:hAnsi="Traditional Arabic" w:cs="Traditional Arabic"/>
          <w:sz w:val="32"/>
          <w:szCs w:val="32"/>
          <w:rtl/>
        </w:rPr>
        <w:t xml:space="preserve"> هي وعاء استثماري خاص يضم عدداً محدداً من المستثمرين لا يزيد في الأغلب على </w:t>
      </w:r>
      <w:r w:rsidRPr="005202E9">
        <w:rPr>
          <w:rFonts w:ascii="Traditional Arabic" w:hAnsi="Traditional Arabic" w:cs="Traditional Arabic"/>
          <w:sz w:val="24"/>
          <w:szCs w:val="24"/>
          <w:rtl/>
        </w:rPr>
        <w:t>499</w:t>
      </w:r>
      <w:r w:rsidRPr="00454972">
        <w:rPr>
          <w:rFonts w:ascii="Traditional Arabic" w:hAnsi="Traditional Arabic" w:cs="Traditional Arabic"/>
          <w:sz w:val="32"/>
          <w:szCs w:val="32"/>
          <w:rtl/>
        </w:rPr>
        <w:t xml:space="preserve"> مستثمراً غرضه الاستثمار في الأوراق المالية.‏</w:t>
      </w:r>
      <w:r w:rsidRPr="00454972">
        <w:rPr>
          <w:rFonts w:ascii="Traditional Arabic" w:hAnsi="Traditional Arabic" w:cs="Traditional Arabic"/>
          <w:sz w:val="32"/>
          <w:szCs w:val="32"/>
        </w:rPr>
        <w:t xml:space="preserve"> </w:t>
      </w:r>
    </w:p>
    <w:p w:rsidR="00B52C5C" w:rsidRPr="00454972" w:rsidRDefault="00B52C5C" w:rsidP="00454972">
      <w:pPr>
        <w:pStyle w:val="a3"/>
        <w:numPr>
          <w:ilvl w:val="0"/>
          <w:numId w:val="4"/>
        </w:numPr>
        <w:jc w:val="both"/>
        <w:rPr>
          <w:rFonts w:ascii="Traditional Arabic" w:hAnsi="Traditional Arabic" w:cs="Traditional Arabic"/>
          <w:rtl/>
        </w:rPr>
      </w:pPr>
      <w:r w:rsidRPr="00454972">
        <w:rPr>
          <w:rFonts w:ascii="Traditional Arabic" w:hAnsi="Traditional Arabic" w:cs="Traditional Arabic" w:hint="cs"/>
          <w:sz w:val="32"/>
          <w:szCs w:val="32"/>
          <w:rtl/>
        </w:rPr>
        <w:t xml:space="preserve">صناديق </w:t>
      </w:r>
      <w:r w:rsidR="00485F25" w:rsidRPr="00454972">
        <w:rPr>
          <w:rFonts w:ascii="Traditional Arabic" w:hAnsi="Traditional Arabic" w:cs="Traditional Arabic"/>
          <w:sz w:val="32"/>
          <w:szCs w:val="32"/>
          <w:rtl/>
        </w:rPr>
        <w:t>التحوُّط</w:t>
      </w:r>
      <w:r w:rsidRPr="00454972">
        <w:rPr>
          <w:rFonts w:ascii="Traditional Arabic" w:hAnsi="Traditional Arabic" w:cs="Traditional Arabic"/>
          <w:sz w:val="32"/>
          <w:szCs w:val="32"/>
          <w:rtl/>
        </w:rPr>
        <w:t xml:space="preserve"> غير خاضعة للتسجيل تحت أنظمة الجهات الرقابية المناط بها مراقبة الصناديق الاستثمارية لأنها عبارة عن عقد شركة بين المستثمر والجهة المديرة للصندوق.‏</w:t>
      </w:r>
      <w:r w:rsidRPr="00454972">
        <w:rPr>
          <w:rFonts w:ascii="Traditional Arabic" w:hAnsi="Traditional Arabic" w:cs="Traditional Arabic"/>
          <w:sz w:val="32"/>
          <w:szCs w:val="32"/>
        </w:rPr>
        <w:t xml:space="preserve"> </w:t>
      </w:r>
    </w:p>
    <w:p w:rsidR="00B52C5C" w:rsidRPr="00454972" w:rsidRDefault="00B52C5C" w:rsidP="00454972">
      <w:pPr>
        <w:pStyle w:val="a3"/>
        <w:numPr>
          <w:ilvl w:val="0"/>
          <w:numId w:val="4"/>
        </w:numPr>
        <w:jc w:val="both"/>
        <w:rPr>
          <w:rFonts w:ascii="Traditional Arabic" w:hAnsi="Traditional Arabic" w:cs="Traditional Arabic"/>
          <w:rtl/>
        </w:rPr>
      </w:pPr>
      <w:r w:rsidRPr="00454972">
        <w:rPr>
          <w:rFonts w:ascii="Traditional Arabic" w:hAnsi="Traditional Arabic" w:cs="Traditional Arabic" w:hint="cs"/>
          <w:sz w:val="32"/>
          <w:szCs w:val="32"/>
          <w:rtl/>
        </w:rPr>
        <w:t xml:space="preserve">قيمة الاشتراك بالصندوق عالية حيث تتراوح ما بين </w:t>
      </w:r>
      <w:r w:rsidRPr="005202E9">
        <w:rPr>
          <w:rFonts w:ascii="Traditional Arabic" w:hAnsi="Traditional Arabic" w:cs="Traditional Arabic" w:hint="cs"/>
          <w:sz w:val="24"/>
          <w:szCs w:val="24"/>
          <w:rtl/>
        </w:rPr>
        <w:t>500</w:t>
      </w:r>
      <w:r w:rsidRPr="00454972">
        <w:rPr>
          <w:rFonts w:ascii="Traditional Arabic" w:hAnsi="Traditional Arabic" w:cs="Traditional Arabic" w:hint="cs"/>
          <w:sz w:val="32"/>
          <w:szCs w:val="32"/>
          <w:rtl/>
        </w:rPr>
        <w:t xml:space="preserve"> ألف دولار إلى مليون دولار كحد أدنى للاشتراك فهو يعتبر من الأوعية الاستثمارية الخاصة بالأثرياء.‏</w:t>
      </w:r>
      <w:r w:rsidRPr="00454972">
        <w:rPr>
          <w:rFonts w:ascii="Traditional Arabic" w:hAnsi="Traditional Arabic" w:cs="Traditional Arabic"/>
          <w:sz w:val="32"/>
          <w:szCs w:val="32"/>
        </w:rPr>
        <w:t xml:space="preserve"> </w:t>
      </w:r>
    </w:p>
    <w:p w:rsidR="00B52C5C" w:rsidRPr="00454972" w:rsidRDefault="00B52C5C" w:rsidP="00454972">
      <w:pPr>
        <w:pStyle w:val="a3"/>
        <w:numPr>
          <w:ilvl w:val="0"/>
          <w:numId w:val="4"/>
        </w:numPr>
        <w:jc w:val="both"/>
        <w:rPr>
          <w:rFonts w:ascii="Traditional Arabic" w:hAnsi="Traditional Arabic" w:cs="Traditional Arabic"/>
          <w:rtl/>
        </w:rPr>
      </w:pPr>
      <w:r w:rsidRPr="00454972">
        <w:rPr>
          <w:rFonts w:ascii="Traditional Arabic" w:hAnsi="Traditional Arabic" w:cs="Traditional Arabic" w:hint="cs"/>
          <w:sz w:val="32"/>
          <w:szCs w:val="32"/>
          <w:rtl/>
        </w:rPr>
        <w:t xml:space="preserve">يتقاضى مدير الصندوق أجوراً عالية جداً حيث تتراوح ما بين </w:t>
      </w:r>
      <w:r w:rsidRPr="005202E9">
        <w:rPr>
          <w:rFonts w:ascii="Traditional Arabic" w:hAnsi="Traditional Arabic" w:cs="Traditional Arabic" w:hint="cs"/>
          <w:sz w:val="24"/>
          <w:szCs w:val="24"/>
          <w:rtl/>
        </w:rPr>
        <w:t>1-2%</w:t>
      </w:r>
      <w:r w:rsidRPr="00454972">
        <w:rPr>
          <w:rFonts w:ascii="Traditional Arabic" w:hAnsi="Traditional Arabic" w:cs="Traditional Arabic" w:hint="cs"/>
          <w:sz w:val="32"/>
          <w:szCs w:val="32"/>
          <w:rtl/>
        </w:rPr>
        <w:t xml:space="preserve"> من </w:t>
      </w:r>
      <w:r w:rsidRPr="00454972">
        <w:rPr>
          <w:rFonts w:ascii="Traditional Arabic" w:hAnsi="Traditional Arabic" w:cs="Traditional Arabic"/>
          <w:sz w:val="32"/>
          <w:szCs w:val="32"/>
          <w:rtl/>
        </w:rPr>
        <w:t xml:space="preserve">قيمة الأصول إضافة إلى </w:t>
      </w:r>
      <w:r w:rsidRPr="005202E9">
        <w:rPr>
          <w:rFonts w:ascii="Traditional Arabic" w:hAnsi="Traditional Arabic" w:cs="Traditional Arabic"/>
          <w:sz w:val="24"/>
          <w:szCs w:val="24"/>
          <w:rtl/>
        </w:rPr>
        <w:t xml:space="preserve">20% </w:t>
      </w:r>
      <w:r w:rsidRPr="00454972">
        <w:rPr>
          <w:rFonts w:ascii="Traditional Arabic" w:hAnsi="Traditional Arabic" w:cs="Traditional Arabic"/>
          <w:sz w:val="32"/>
          <w:szCs w:val="32"/>
          <w:rtl/>
        </w:rPr>
        <w:t>من الأرباح.‏</w:t>
      </w:r>
      <w:r w:rsidRPr="00454972">
        <w:rPr>
          <w:rFonts w:ascii="Traditional Arabic" w:hAnsi="Traditional Arabic" w:cs="Traditional Arabic"/>
          <w:sz w:val="32"/>
          <w:szCs w:val="32"/>
        </w:rPr>
        <w:t xml:space="preserve"> </w:t>
      </w:r>
    </w:p>
    <w:p w:rsidR="00B52C5C" w:rsidRPr="00454972" w:rsidRDefault="00B52C5C" w:rsidP="00454972">
      <w:pPr>
        <w:pStyle w:val="a3"/>
        <w:numPr>
          <w:ilvl w:val="0"/>
          <w:numId w:val="4"/>
        </w:numPr>
        <w:jc w:val="both"/>
        <w:rPr>
          <w:rFonts w:ascii="Traditional Arabic" w:hAnsi="Traditional Arabic" w:cs="Traditional Arabic"/>
          <w:rtl/>
        </w:rPr>
      </w:pPr>
      <w:r w:rsidRPr="00454972">
        <w:rPr>
          <w:rFonts w:ascii="Traditional Arabic" w:hAnsi="Traditional Arabic" w:cs="Traditional Arabic" w:hint="cs"/>
          <w:sz w:val="32"/>
          <w:szCs w:val="32"/>
          <w:rtl/>
        </w:rPr>
        <w:t>الاسترداد يتم شهرياً أو سنوياً.‏</w:t>
      </w:r>
      <w:r w:rsidRPr="00454972">
        <w:rPr>
          <w:rFonts w:ascii="Traditional Arabic" w:hAnsi="Traditional Arabic" w:cs="Traditional Arabic"/>
          <w:sz w:val="32"/>
          <w:szCs w:val="32"/>
        </w:rPr>
        <w:t xml:space="preserve"> </w:t>
      </w:r>
    </w:p>
    <w:p w:rsidR="00B52C5C" w:rsidRPr="00454972" w:rsidRDefault="00B52C5C" w:rsidP="00454972">
      <w:pPr>
        <w:pStyle w:val="a3"/>
        <w:numPr>
          <w:ilvl w:val="0"/>
          <w:numId w:val="4"/>
        </w:numPr>
        <w:jc w:val="both"/>
        <w:rPr>
          <w:rFonts w:ascii="Traditional Arabic" w:hAnsi="Traditional Arabic" w:cs="Traditional Arabic"/>
          <w:rtl/>
        </w:rPr>
      </w:pPr>
      <w:r w:rsidRPr="00454972">
        <w:rPr>
          <w:rFonts w:ascii="Traditional Arabic" w:hAnsi="Traditional Arabic" w:cs="Traditional Arabic" w:hint="cs"/>
          <w:sz w:val="32"/>
          <w:szCs w:val="32"/>
          <w:rtl/>
        </w:rPr>
        <w:t>ليس هناك أي قيود على مدير الصندوق من الجهات المنظمة في آليات الاستثمار ومن حيث استخدام الرفع المالي أو أدوات المشتقات أو البيع على المكشوف.‏</w:t>
      </w:r>
      <w:r w:rsidRPr="00454972">
        <w:rPr>
          <w:rFonts w:ascii="Traditional Arabic" w:hAnsi="Traditional Arabic" w:cs="Traditional Arabic"/>
          <w:sz w:val="32"/>
          <w:szCs w:val="32"/>
        </w:rPr>
        <w:t xml:space="preserve">  </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tl/>
        </w:rPr>
        <w:t xml:space="preserve">آلية عمل صناديق </w:t>
      </w:r>
      <w:r w:rsidR="00485F25">
        <w:rPr>
          <w:rFonts w:ascii="Traditional Arabic" w:eastAsia="Times New Roman" w:hAnsi="Traditional Arabic" w:cs="Traditional Arabic"/>
          <w:b/>
          <w:bCs/>
          <w:sz w:val="32"/>
          <w:szCs w:val="32"/>
          <w:rtl/>
        </w:rPr>
        <w:t>التحوُّط</w:t>
      </w:r>
    </w:p>
    <w:p w:rsidR="00B52C5C" w:rsidRPr="00966167" w:rsidRDefault="00B52C5C" w:rsidP="00454972">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تعمل هذه الصناديق على أساس الاقتراض من مؤسسات مالية كالبنوك بأسعار فائدة منخفضة، ثم تستثمر هذه الأموال مقابل فوائد مرتفعة وتربح من الفرقة بين القيمتين</w:t>
      </w:r>
      <w:r w:rsidR="00454972">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 وهو ما يسمى "</w:t>
      </w:r>
      <w:r w:rsidR="00454972">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الرفع المالي</w:t>
      </w:r>
      <w:r w:rsidRPr="00966167">
        <w:rPr>
          <w:rFonts w:ascii="Traditional Arabic" w:eastAsia="Times New Roman" w:hAnsi="Traditional Arabic" w:cs="Traditional Arabic"/>
          <w:sz w:val="32"/>
          <w:szCs w:val="32"/>
        </w:rPr>
        <w:t xml:space="preserve">" </w:t>
      </w:r>
      <w:r w:rsidR="00454972">
        <w:rPr>
          <w:rFonts w:ascii="Traditional Arabic" w:eastAsia="Times New Roman" w:hAnsi="Traditional Arabic" w:cs="Traditional Arabic" w:hint="cs"/>
          <w:sz w:val="32"/>
          <w:szCs w:val="32"/>
          <w:rtl/>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lastRenderedPageBreak/>
        <w:t xml:space="preserve">إن صناديق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اقترضت مئات مليارات الدولارات بأسعار فائدة منخفضة من اليابان، ثم استثمرت أرباح</w:t>
      </w:r>
      <w:r w:rsidR="00454972">
        <w:rPr>
          <w:rFonts w:ascii="Traditional Arabic" w:eastAsia="Times New Roman" w:hAnsi="Traditional Arabic" w:cs="Traditional Arabic"/>
          <w:sz w:val="32"/>
          <w:szCs w:val="32"/>
          <w:rtl/>
        </w:rPr>
        <w:t>ها في بلدان مثل البرازيل وتركيا</w:t>
      </w:r>
      <w:r w:rsidR="00454972">
        <w:rPr>
          <w:rFonts w:ascii="Traditional Arabic" w:eastAsia="Times New Roman" w:hAnsi="Traditional Arabic" w:cs="Traditional Arabic" w:hint="cs"/>
          <w:sz w:val="32"/>
          <w:szCs w:val="32"/>
          <w:rtl/>
        </w:rPr>
        <w:t xml:space="preserve"> </w:t>
      </w:r>
      <w:r w:rsidR="00454972">
        <w:rPr>
          <w:rFonts w:ascii="Traditional Arabic" w:eastAsia="Times New Roman" w:hAnsi="Traditional Arabic" w:cs="Traditional Arabic"/>
          <w:sz w:val="32"/>
          <w:szCs w:val="32"/>
          <w:rtl/>
        </w:rPr>
        <w:t>حيث أسعار الفائدة مرتفعة</w:t>
      </w:r>
      <w:r w:rsidRPr="00966167">
        <w:rPr>
          <w:rFonts w:ascii="Traditional Arabic" w:eastAsia="Times New Roman" w:hAnsi="Traditional Arabic" w:cs="Traditional Arabic"/>
          <w:sz w:val="32"/>
          <w:szCs w:val="32"/>
          <w:rtl/>
        </w:rPr>
        <w:t xml:space="preserve"> وطالما ظل الين ضعيفا</w:t>
      </w:r>
      <w:r w:rsidR="00454972">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فان هذه الإستراتيجية الاستثمارية ستظل تعمل وكأنها ماكينة نقود. ولكن إذا ما ارتفع سعر الين بصورة حادة، كما قد يحدث بسهولة نظرا</w:t>
      </w:r>
      <w:r w:rsidR="00454972">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للفائض الهائل لدى اليابان في حسا</w:t>
      </w:r>
      <w:r w:rsidR="00454972">
        <w:rPr>
          <w:rFonts w:ascii="Traditional Arabic" w:eastAsia="Times New Roman" w:hAnsi="Traditional Arabic" w:cs="Traditional Arabic"/>
          <w:sz w:val="32"/>
          <w:szCs w:val="32"/>
          <w:rtl/>
        </w:rPr>
        <w:t>بها الجاري</w:t>
      </w:r>
      <w:r w:rsidR="00454972">
        <w:rPr>
          <w:rFonts w:ascii="Traditional Arabic" w:eastAsia="Times New Roman" w:hAnsi="Traditional Arabic" w:cs="Traditional Arabic" w:hint="cs"/>
          <w:sz w:val="32"/>
          <w:szCs w:val="32"/>
          <w:rtl/>
        </w:rPr>
        <w:t xml:space="preserve"> </w:t>
      </w:r>
      <w:r w:rsidR="00454972">
        <w:rPr>
          <w:rFonts w:ascii="Traditional Arabic" w:eastAsia="Times New Roman" w:hAnsi="Traditional Arabic" w:cs="Traditional Arabic"/>
          <w:sz w:val="32"/>
          <w:szCs w:val="32"/>
          <w:rtl/>
        </w:rPr>
        <w:t>،</w:t>
      </w:r>
      <w:r w:rsidR="00454972">
        <w:rPr>
          <w:rFonts w:ascii="Traditional Arabic" w:eastAsia="Times New Roman" w:hAnsi="Traditional Arabic" w:cs="Traditional Arabic" w:hint="cs"/>
          <w:sz w:val="32"/>
          <w:szCs w:val="32"/>
          <w:rtl/>
        </w:rPr>
        <w:t xml:space="preserve"> </w:t>
      </w:r>
      <w:r w:rsidR="00454972">
        <w:rPr>
          <w:rFonts w:ascii="Traditional Arabic" w:eastAsia="Times New Roman" w:hAnsi="Traditional Arabic" w:cs="Traditional Arabic"/>
          <w:sz w:val="32"/>
          <w:szCs w:val="32"/>
          <w:rtl/>
        </w:rPr>
        <w:t>ف</w:t>
      </w:r>
      <w:r w:rsidRPr="00966167">
        <w:rPr>
          <w:rFonts w:ascii="Traditional Arabic" w:eastAsia="Times New Roman" w:hAnsi="Traditional Arabic" w:cs="Traditional Arabic"/>
          <w:sz w:val="32"/>
          <w:szCs w:val="32"/>
          <w:rtl/>
        </w:rPr>
        <w:t xml:space="preserve">سوف تتحمل بعض صناديق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خسائر مالية فادحة وتنهار التجارة المحملة على الين بصورة عنيفة</w:t>
      </w:r>
      <w:r w:rsidR="00454972">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Pr>
        <w:t xml:space="preserve"> </w:t>
      </w:r>
    </w:p>
    <w:p w:rsidR="00B52C5C" w:rsidRPr="00966167" w:rsidRDefault="00B52C5C" w:rsidP="00A13463">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استثمرت صناديق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بما صار يعرف </w:t>
      </w:r>
      <w:proofErr w:type="spellStart"/>
      <w:r w:rsidRPr="00966167">
        <w:rPr>
          <w:rFonts w:ascii="Traditional Arabic" w:eastAsia="Times New Roman" w:hAnsi="Traditional Arabic" w:cs="Traditional Arabic"/>
          <w:sz w:val="32"/>
          <w:szCs w:val="32"/>
          <w:rtl/>
        </w:rPr>
        <w:t>ب</w:t>
      </w:r>
      <w:r w:rsidR="00A13463">
        <w:rPr>
          <w:rFonts w:ascii="Traditional Arabic" w:eastAsia="Times New Roman" w:hAnsi="Traditional Arabic" w:cs="Traditional Arabic" w:hint="cs"/>
          <w:sz w:val="32"/>
          <w:szCs w:val="32"/>
          <w:rtl/>
        </w:rPr>
        <w:t>ــ</w:t>
      </w:r>
      <w:proofErr w:type="spellEnd"/>
      <w:r w:rsidRPr="00966167">
        <w:rPr>
          <w:rFonts w:ascii="Traditional Arabic" w:eastAsia="Times New Roman" w:hAnsi="Traditional Arabic" w:cs="Traditional Arabic"/>
          <w:sz w:val="32"/>
          <w:szCs w:val="32"/>
          <w:rtl/>
        </w:rPr>
        <w:t>"الأدوات المالية" التي تدرّ أرباحا</w:t>
      </w:r>
      <w:r w:rsidR="00454972">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خيالية</w:t>
      </w:r>
      <w:r w:rsidR="00A13463">
        <w:rPr>
          <w:rFonts w:ascii="Traditional Arabic" w:eastAsia="Times New Roman" w:hAnsi="Traditional Arabic" w:cs="Traditional Arabic" w:hint="cs"/>
          <w:sz w:val="32"/>
          <w:szCs w:val="32"/>
          <w:rtl/>
        </w:rPr>
        <w:t>,</w:t>
      </w:r>
      <w:r w:rsidR="00A13463">
        <w:rPr>
          <w:rFonts w:ascii="Traditional Arabic" w:eastAsia="Times New Roman" w:hAnsi="Traditional Arabic" w:cs="Traditional Arabic" w:hint="cs"/>
          <w:rtl/>
        </w:rPr>
        <w:t xml:space="preserve"> </w:t>
      </w:r>
      <w:r w:rsidRPr="00966167">
        <w:rPr>
          <w:rFonts w:ascii="Traditional Arabic" w:eastAsia="Times New Roman" w:hAnsi="Traditional Arabic" w:cs="Traditional Arabic"/>
          <w:sz w:val="32"/>
          <w:szCs w:val="32"/>
          <w:rtl/>
        </w:rPr>
        <w:t>فما هي هذه الأدوات وما علاقتها بأزمة الائتمان العقاري التي هددت العالم؟</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Pr>
        <w:t> </w:t>
      </w:r>
      <w:r w:rsidRPr="00966167">
        <w:rPr>
          <w:rFonts w:ascii="Traditional Arabic" w:eastAsia="Times New Roman" w:hAnsi="Traditional Arabic" w:cs="Traditional Arabic"/>
          <w:sz w:val="32"/>
          <w:szCs w:val="32"/>
          <w:rtl/>
        </w:rPr>
        <w:t>يُقصد بالأدوات الما</w:t>
      </w:r>
      <w:r w:rsidR="00454972">
        <w:rPr>
          <w:rFonts w:ascii="Traditional Arabic" w:eastAsia="Times New Roman" w:hAnsi="Traditional Arabic" w:cs="Traditional Arabic"/>
          <w:sz w:val="32"/>
          <w:szCs w:val="32"/>
          <w:rtl/>
        </w:rPr>
        <w:t>لية ما يسمى بـ"مشتقات الائتمان"</w:t>
      </w:r>
      <w:r w:rsidRPr="00966167">
        <w:rPr>
          <w:rFonts w:ascii="Traditional Arabic" w:eastAsia="Times New Roman" w:hAnsi="Traditional Arabic" w:cs="Traditional Arabic"/>
          <w:sz w:val="32"/>
          <w:szCs w:val="32"/>
          <w:rtl/>
        </w:rPr>
        <w:t xml:space="preserve"> وهي عملية تحويل القروض المختلفة، مثل قرض الرهن العقاري وغيره، إلى سندات يمكن تداولها في الأسواق المالية. إحدى هذه "الأدوات المالية" كان التداول بسندات معتمدة على القروض الممنوحة في سوق القروض العقارية الثانوية. خلافا لسوق القروض الرئيسية، تقوم شركات القروض في السوق الثانوية بمنح قروض إسكان مسهَّلة لزبائن لا يتمتعون بتاريخ ائتماني جيد، بمعنى أنهم يحصلون على قروض دون دفع أي سلفة ودون إثباتات موثّقة حول أحجام وقيم أجورهم وممتلكاتهم</w:t>
      </w:r>
      <w:r w:rsidRPr="00966167">
        <w:rPr>
          <w:rFonts w:ascii="Traditional Arabic" w:eastAsia="Times New Roman" w:hAnsi="Traditional Arabic" w:cs="Traditional Arabic"/>
          <w:sz w:val="32"/>
          <w:szCs w:val="32"/>
        </w:rPr>
        <w:t>.</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وقد قام صندوقا</w:t>
      </w:r>
      <w:r w:rsidR="00A13463">
        <w:rPr>
          <w:rFonts w:ascii="Traditional Arabic" w:eastAsia="Times New Roman" w:hAnsi="Traditional Arabic" w:cs="Traditional Arabic" w:hint="cs"/>
          <w:sz w:val="32"/>
          <w:szCs w:val="32"/>
          <w:rtl/>
        </w:rPr>
        <w:t>ً</w:t>
      </w:r>
      <w:r w:rsidRPr="00966167">
        <w:rPr>
          <w:rFonts w:ascii="Traditional Arabic" w:eastAsia="Times New Roman" w:hAnsi="Traditional Arabic" w:cs="Traditional Arabic"/>
          <w:sz w:val="32"/>
          <w:szCs w:val="32"/>
          <w:rtl/>
        </w:rPr>
        <w:t xml:space="preserve">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التابعان لشركة "بير-ستير</w:t>
      </w:r>
      <w:r w:rsidR="00A13463">
        <w:rPr>
          <w:rFonts w:ascii="Traditional Arabic" w:eastAsia="Times New Roman" w:hAnsi="Traditional Arabic" w:cs="Traditional Arabic"/>
          <w:sz w:val="32"/>
          <w:szCs w:val="32"/>
          <w:rtl/>
        </w:rPr>
        <w:t xml:space="preserve">نز"، البنك الاستثماري </w:t>
      </w:r>
      <w:r w:rsidR="00A13463">
        <w:rPr>
          <w:rFonts w:ascii="Traditional Arabic" w:eastAsia="Times New Roman" w:hAnsi="Traditional Arabic" w:cs="Traditional Arabic" w:hint="cs"/>
          <w:sz w:val="32"/>
          <w:szCs w:val="32"/>
          <w:rtl/>
        </w:rPr>
        <w:t xml:space="preserve">في </w:t>
      </w:r>
      <w:r w:rsidR="00A13463">
        <w:rPr>
          <w:rFonts w:ascii="Traditional Arabic" w:eastAsia="Times New Roman" w:hAnsi="Traditional Arabic" w:cs="Traditional Arabic"/>
          <w:sz w:val="32"/>
          <w:szCs w:val="32"/>
          <w:rtl/>
        </w:rPr>
        <w:t>نيويورك</w:t>
      </w:r>
      <w:r w:rsidRPr="00966167">
        <w:rPr>
          <w:rFonts w:ascii="Traditional Arabic" w:eastAsia="Times New Roman" w:hAnsi="Traditional Arabic" w:cs="Traditional Arabic"/>
          <w:sz w:val="32"/>
          <w:szCs w:val="32"/>
          <w:rtl/>
        </w:rPr>
        <w:t>، بجمع مئات ملايين الدولارات من مستثمرين أثرياء، واقترضا أضعاف المبلغ من ا</w:t>
      </w:r>
      <w:r w:rsidR="00A13463">
        <w:rPr>
          <w:rFonts w:ascii="Traditional Arabic" w:eastAsia="Times New Roman" w:hAnsi="Traditional Arabic" w:cs="Traditional Arabic"/>
          <w:sz w:val="32"/>
          <w:szCs w:val="32"/>
          <w:rtl/>
        </w:rPr>
        <w:t>لبنوك الكبيرة في وول ستريت، وبد</w:t>
      </w:r>
      <w:r w:rsidR="00A13463">
        <w:rPr>
          <w:rFonts w:ascii="Traditional Arabic" w:eastAsia="Times New Roman" w:hAnsi="Traditional Arabic" w:cs="Traditional Arabic" w:hint="cs"/>
          <w:sz w:val="32"/>
          <w:szCs w:val="32"/>
          <w:rtl/>
        </w:rPr>
        <w:t>أ</w:t>
      </w:r>
      <w:r w:rsidRPr="00966167">
        <w:rPr>
          <w:rFonts w:ascii="Traditional Arabic" w:eastAsia="Times New Roman" w:hAnsi="Traditional Arabic" w:cs="Traditional Arabic"/>
          <w:sz w:val="32"/>
          <w:szCs w:val="32"/>
          <w:rtl/>
        </w:rPr>
        <w:t xml:space="preserve"> التداول بسندات سوق القروض العقارية الثانوية، حتى أعلنا إفلاسهما</w:t>
      </w:r>
      <w:r w:rsidRPr="00966167">
        <w:rPr>
          <w:rFonts w:ascii="Traditional Arabic" w:eastAsia="Times New Roman" w:hAnsi="Traditional Arabic" w:cs="Traditional Arabic"/>
          <w:sz w:val="32"/>
          <w:szCs w:val="32"/>
        </w:rPr>
        <w:t>.</w:t>
      </w:r>
    </w:p>
    <w:p w:rsidR="00B52C5C" w:rsidRPr="00966167" w:rsidRDefault="00A13463" w:rsidP="00B52C5C">
      <w:pPr>
        <w:jc w:val="both"/>
        <w:rPr>
          <w:rFonts w:ascii="Traditional Arabic" w:eastAsia="Times New Roman" w:hAnsi="Traditional Arabic" w:cs="Traditional Arabic"/>
          <w:rtl/>
        </w:rPr>
      </w:pPr>
      <w:r>
        <w:rPr>
          <w:rFonts w:ascii="Traditional Arabic" w:eastAsia="Times New Roman" w:hAnsi="Traditional Arabic" w:cs="Traditional Arabic" w:hint="cs"/>
          <w:sz w:val="32"/>
          <w:szCs w:val="32"/>
          <w:rtl/>
        </w:rPr>
        <w:t>إ</w:t>
      </w:r>
      <w:r>
        <w:rPr>
          <w:rFonts w:ascii="Traditional Arabic" w:eastAsia="Times New Roman" w:hAnsi="Traditional Arabic" w:cs="Traditional Arabic"/>
          <w:sz w:val="32"/>
          <w:szCs w:val="32"/>
          <w:rtl/>
        </w:rPr>
        <w:t xml:space="preserve">ن </w:t>
      </w:r>
      <w:r>
        <w:rPr>
          <w:rFonts w:ascii="Traditional Arabic" w:eastAsia="Times New Roman" w:hAnsi="Traditional Arabic" w:cs="Traditional Arabic" w:hint="cs"/>
          <w:sz w:val="32"/>
          <w:szCs w:val="32"/>
          <w:rtl/>
        </w:rPr>
        <w:t>أ</w:t>
      </w:r>
      <w:r w:rsidR="00B52C5C" w:rsidRPr="00966167">
        <w:rPr>
          <w:rFonts w:ascii="Traditional Arabic" w:eastAsia="Times New Roman" w:hAnsi="Traditional Arabic" w:cs="Traditional Arabic"/>
          <w:sz w:val="32"/>
          <w:szCs w:val="32"/>
          <w:rtl/>
        </w:rPr>
        <w:t xml:space="preserve">حد مدراء صناديق </w:t>
      </w:r>
      <w:r w:rsidR="00485F25">
        <w:rPr>
          <w:rFonts w:ascii="Traditional Arabic" w:eastAsia="Times New Roman" w:hAnsi="Traditional Arabic" w:cs="Traditional Arabic"/>
          <w:sz w:val="32"/>
          <w:szCs w:val="32"/>
          <w:rtl/>
        </w:rPr>
        <w:t>التحوُّط</w:t>
      </w:r>
      <w:r w:rsidR="00B52C5C" w:rsidRPr="00966167">
        <w:rPr>
          <w:rFonts w:ascii="Traditional Arabic" w:eastAsia="Times New Roman" w:hAnsi="Traditional Arabic" w:cs="Traditional Arabic"/>
          <w:sz w:val="32"/>
          <w:szCs w:val="32"/>
          <w:rtl/>
        </w:rPr>
        <w:t xml:space="preserve"> راهن على خسارة مؤشر أي. </w:t>
      </w:r>
      <w:proofErr w:type="spellStart"/>
      <w:r w:rsidR="00B52C5C" w:rsidRPr="00966167">
        <w:rPr>
          <w:rFonts w:ascii="Traditional Arabic" w:eastAsia="Times New Roman" w:hAnsi="Traditional Arabic" w:cs="Traditional Arabic"/>
          <w:sz w:val="32"/>
          <w:szCs w:val="32"/>
          <w:rtl/>
        </w:rPr>
        <w:t>بي</w:t>
      </w:r>
      <w:proofErr w:type="spellEnd"/>
      <w:r w:rsidR="00B52C5C" w:rsidRPr="00966167">
        <w:rPr>
          <w:rFonts w:ascii="Traditional Arabic" w:eastAsia="Times New Roman" w:hAnsi="Traditional Arabic" w:cs="Traditional Arabic"/>
          <w:sz w:val="32"/>
          <w:szCs w:val="32"/>
          <w:rtl/>
        </w:rPr>
        <w:t>. اكس. للسندات القائمة على قروض الرهن العقاري في السوق الثانوية، واستطاع تحقيق الربح حين انهارت أسعار السندات المذكورة</w:t>
      </w:r>
      <w:r>
        <w:rPr>
          <w:rFonts w:ascii="Traditional Arabic" w:eastAsia="Times New Roman" w:hAnsi="Traditional Arabic" w:cs="Traditional Arabic" w:hint="cs"/>
          <w:sz w:val="32"/>
          <w:szCs w:val="32"/>
          <w:rtl/>
        </w:rPr>
        <w:t>.</w:t>
      </w:r>
      <w:r w:rsidR="00B52C5C" w:rsidRPr="00966167">
        <w:rPr>
          <w:rFonts w:ascii="Traditional Arabic" w:eastAsia="Times New Roman" w:hAnsi="Traditional Arabic" w:cs="Traditional Arabic"/>
          <w:sz w:val="32"/>
          <w:szCs w:val="32"/>
        </w:rPr>
        <w:t xml:space="preserve"> </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كيف حقق ذلك؟</w:t>
      </w:r>
      <w:r w:rsidRPr="00966167">
        <w:rPr>
          <w:rFonts w:ascii="Traditional Arabic" w:eastAsia="Times New Roman" w:hAnsi="Traditional Arabic" w:cs="Traditional Arabic"/>
          <w:sz w:val="32"/>
          <w:szCs w:val="32"/>
        </w:rPr>
        <w:t xml:space="preserve"> </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xml:space="preserve">تقوم آلية عمل صناديق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على إستراتيجية تهتم بالمتاجرة في الأسهم بناء على مركزين ماليين:‏</w:t>
      </w:r>
      <w:r w:rsidRPr="00966167">
        <w:rPr>
          <w:rFonts w:ascii="Traditional Arabic" w:eastAsia="Times New Roman" w:hAnsi="Traditional Arabic" w:cs="Traditional Arabic"/>
          <w:sz w:val="32"/>
          <w:szCs w:val="32"/>
        </w:rPr>
        <w:t xml:space="preserve"> </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tl/>
        </w:rPr>
        <w:t xml:space="preserve">الأول </w:t>
      </w:r>
      <w:r w:rsidRPr="00966167">
        <w:rPr>
          <w:rFonts w:ascii="Traditional Arabic" w:eastAsia="Times New Roman" w:hAnsi="Traditional Arabic" w:cs="Traditional Arabic"/>
          <w:sz w:val="32"/>
          <w:szCs w:val="32"/>
          <w:rtl/>
        </w:rPr>
        <w:t>- طويل الأجل بحيث يشتري الأسهم التي يتوقع أن ترتفع ويحتفظ بها إلى أن يبيعها بالثمن المتوقع.‏</w:t>
      </w:r>
      <w:r w:rsidRPr="00966167">
        <w:rPr>
          <w:rFonts w:ascii="Traditional Arabic" w:eastAsia="Times New Roman" w:hAnsi="Traditional Arabic" w:cs="Traditional Arabic"/>
          <w:sz w:val="32"/>
          <w:szCs w:val="32"/>
        </w:rPr>
        <w:t xml:space="preserve"> </w:t>
      </w:r>
    </w:p>
    <w:p w:rsidR="00B52C5C" w:rsidRPr="00966167" w:rsidRDefault="00B52C5C" w:rsidP="00B52C5C">
      <w:pPr>
        <w:jc w:val="both"/>
        <w:rPr>
          <w:rFonts w:ascii="Traditional Arabic" w:eastAsia="Times New Roman" w:hAnsi="Traditional Arabic" w:cs="Traditional Arabic"/>
          <w:rtl/>
        </w:rPr>
      </w:pPr>
      <w:r w:rsidRPr="00966167">
        <w:rPr>
          <w:rFonts w:ascii="Traditional Arabic" w:eastAsia="Times New Roman" w:hAnsi="Traditional Arabic" w:cs="Traditional Arabic"/>
          <w:b/>
          <w:bCs/>
          <w:sz w:val="32"/>
          <w:szCs w:val="32"/>
          <w:rtl/>
        </w:rPr>
        <w:t>الثاني</w:t>
      </w:r>
      <w:r w:rsidRPr="00966167">
        <w:rPr>
          <w:rFonts w:ascii="Traditional Arabic" w:eastAsia="Times New Roman" w:hAnsi="Traditional Arabic" w:cs="Traditional Arabic"/>
          <w:sz w:val="32"/>
          <w:szCs w:val="32"/>
          <w:rtl/>
        </w:rPr>
        <w:t xml:space="preserve"> - قصير الأجل وهو ما يسمى</w:t>
      </w:r>
      <w:r w:rsidRPr="00966167">
        <w:rPr>
          <w:rFonts w:ascii="Traditional Arabic" w:eastAsia="Times New Roman" w:hAnsi="Traditional Arabic" w:cs="Traditional Arabic"/>
          <w:sz w:val="32"/>
          <w:szCs w:val="32"/>
        </w:rPr>
        <w:t xml:space="preserve"> (short selling) </w:t>
      </w:r>
      <w:r w:rsidRPr="00966167">
        <w:rPr>
          <w:rFonts w:ascii="Traditional Arabic" w:eastAsia="Times New Roman" w:hAnsi="Traditional Arabic" w:cs="Traditional Arabic"/>
          <w:sz w:val="32"/>
          <w:szCs w:val="32"/>
          <w:rtl/>
        </w:rPr>
        <w:t xml:space="preserve">أو البيع على المكشوف بحيث يبيع أسهماً يتوقع انخفاضها ليعيد شراءها في وقت لاحق مع استخدام الاقتراض للاستثمار في أدوات مالية تدر عائداً أعلى من سعر فائدة الاقتراض وهو ما يسمى الرفع المالي وما تزال هذه الآليات من أهم خصائص صناديق </w:t>
      </w:r>
      <w:r w:rsidR="00485F25">
        <w:rPr>
          <w:rFonts w:ascii="Traditional Arabic" w:eastAsia="Times New Roman" w:hAnsi="Traditional Arabic" w:cs="Traditional Arabic"/>
          <w:sz w:val="32"/>
          <w:szCs w:val="32"/>
          <w:rtl/>
        </w:rPr>
        <w:lastRenderedPageBreak/>
        <w:t>التحوُّط</w:t>
      </w:r>
      <w:r w:rsidRPr="00966167">
        <w:rPr>
          <w:rFonts w:ascii="Traditional Arabic" w:eastAsia="Times New Roman" w:hAnsi="Traditional Arabic" w:cs="Traditional Arabic"/>
          <w:sz w:val="32"/>
          <w:szCs w:val="32"/>
          <w:rtl/>
        </w:rPr>
        <w:t xml:space="preserve"> في عصرنا. ويحاول مديرو صناديق </w:t>
      </w:r>
      <w:r w:rsidR="00485F25">
        <w:rPr>
          <w:rFonts w:ascii="Traditional Arabic" w:eastAsia="Times New Roman" w:hAnsi="Traditional Arabic" w:cs="Traditional Arabic"/>
          <w:sz w:val="32"/>
          <w:szCs w:val="32"/>
          <w:rtl/>
        </w:rPr>
        <w:t>التحوُّط</w:t>
      </w:r>
      <w:r w:rsidRPr="00966167">
        <w:rPr>
          <w:rFonts w:ascii="Traditional Arabic" w:eastAsia="Times New Roman" w:hAnsi="Traditional Arabic" w:cs="Traditional Arabic"/>
          <w:sz w:val="32"/>
          <w:szCs w:val="32"/>
          <w:rtl/>
        </w:rPr>
        <w:t xml:space="preserve"> التطوير والابتكار في آليات عمل الاستثمار في هذه الصناديق بهدف إيجاد آليات استثمارية تحقق عائداً عالياً مع مخاطر مقبولة.‏</w:t>
      </w:r>
    </w:p>
    <w:p w:rsidR="00B52C5C" w:rsidRPr="00EB50EB" w:rsidRDefault="00B52C5C" w:rsidP="00EB50EB">
      <w:pPr>
        <w:jc w:val="both"/>
        <w:rPr>
          <w:rFonts w:ascii="Traditional Arabic" w:hAnsi="Traditional Arabic" w:cs="Traditional Arabic"/>
          <w:rtl/>
        </w:rPr>
      </w:pPr>
      <w:r w:rsidRPr="00EB50EB">
        <w:rPr>
          <w:rFonts w:ascii="Traditional Arabic" w:hAnsi="Traditional Arabic" w:cs="Traditional Arabic"/>
          <w:sz w:val="32"/>
          <w:szCs w:val="32"/>
          <w:rtl/>
        </w:rPr>
        <w:t xml:space="preserve">ويبلغ عدد هذه الصناديق التي ظهرت فكرتها في وول ستريت في أربعينيات القرن الماضي </w:t>
      </w:r>
      <w:r w:rsidRPr="00EB50EB">
        <w:rPr>
          <w:rFonts w:ascii="Traditional Arabic" w:hAnsi="Traditional Arabic" w:cs="Traditional Arabic"/>
          <w:sz w:val="24"/>
          <w:szCs w:val="24"/>
          <w:rtl/>
        </w:rPr>
        <w:t>8000</w:t>
      </w:r>
      <w:r w:rsidR="00A13463" w:rsidRPr="00EB50EB">
        <w:rPr>
          <w:rFonts w:ascii="Traditional Arabic" w:hAnsi="Traditional Arabic" w:cs="Traditional Arabic" w:hint="cs"/>
          <w:sz w:val="32"/>
          <w:szCs w:val="32"/>
          <w:rtl/>
        </w:rPr>
        <w:t xml:space="preserve"> </w:t>
      </w:r>
      <w:r w:rsidRPr="00EB50EB">
        <w:rPr>
          <w:rFonts w:ascii="Traditional Arabic" w:hAnsi="Traditional Arabic" w:cs="Traditional Arabic"/>
          <w:sz w:val="32"/>
          <w:szCs w:val="32"/>
          <w:rtl/>
        </w:rPr>
        <w:t>ثمانية آلاف صندوق تجوب شتى أسواق العالم</w:t>
      </w:r>
      <w:r w:rsidRPr="00EB50EB">
        <w:rPr>
          <w:rFonts w:ascii="Traditional Arabic" w:hAnsi="Traditional Arabic" w:cs="Traditional Arabic"/>
          <w:sz w:val="32"/>
          <w:szCs w:val="32"/>
        </w:rPr>
        <w:t>.</w:t>
      </w:r>
    </w:p>
    <w:p w:rsidR="00B52C5C" w:rsidRPr="00966167" w:rsidRDefault="00B52C5C" w:rsidP="00A13463">
      <w:pPr>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 </w:t>
      </w:r>
      <w:r w:rsidRPr="00966167">
        <w:rPr>
          <w:rFonts w:ascii="Traditional Arabic" w:eastAsia="Times New Roman" w:hAnsi="Traditional Arabic" w:cs="Traditional Arabic"/>
          <w:b/>
          <w:bCs/>
          <w:color w:val="2D2D2D"/>
          <w:sz w:val="32"/>
          <w:szCs w:val="32"/>
          <w:rtl/>
        </w:rPr>
        <w:t xml:space="preserve"> صناديق </w:t>
      </w:r>
      <w:r w:rsidR="00485F25">
        <w:rPr>
          <w:rFonts w:ascii="Traditional Arabic" w:eastAsia="Times New Roman" w:hAnsi="Traditional Arabic" w:cs="Traditional Arabic"/>
          <w:b/>
          <w:bCs/>
          <w:color w:val="2D2D2D"/>
          <w:sz w:val="32"/>
          <w:szCs w:val="32"/>
          <w:rtl/>
        </w:rPr>
        <w:t>التحوُّط</w:t>
      </w:r>
      <w:r w:rsidR="00A13463">
        <w:rPr>
          <w:rFonts w:ascii="Traditional Arabic" w:eastAsia="Times New Roman" w:hAnsi="Traditional Arabic" w:cs="Traditional Arabic"/>
          <w:b/>
          <w:bCs/>
          <w:color w:val="2D2D2D"/>
          <w:sz w:val="32"/>
          <w:szCs w:val="32"/>
          <w:rtl/>
        </w:rPr>
        <w:t xml:space="preserve"> وال</w:t>
      </w:r>
      <w:r w:rsidR="00A13463">
        <w:rPr>
          <w:rFonts w:ascii="Traditional Arabic" w:eastAsia="Times New Roman" w:hAnsi="Traditional Arabic" w:cs="Traditional Arabic" w:hint="cs"/>
          <w:b/>
          <w:bCs/>
          <w:color w:val="2D2D2D"/>
          <w:sz w:val="32"/>
          <w:szCs w:val="32"/>
          <w:rtl/>
        </w:rPr>
        <w:t>أ</w:t>
      </w:r>
      <w:r w:rsidRPr="00966167">
        <w:rPr>
          <w:rFonts w:ascii="Traditional Arabic" w:eastAsia="Times New Roman" w:hAnsi="Traditional Arabic" w:cs="Traditional Arabic"/>
          <w:b/>
          <w:bCs/>
          <w:color w:val="2D2D2D"/>
          <w:sz w:val="32"/>
          <w:szCs w:val="32"/>
          <w:rtl/>
        </w:rPr>
        <w:t>زمة المالية</w:t>
      </w:r>
    </w:p>
    <w:p w:rsidR="00B52C5C" w:rsidRPr="00A13463" w:rsidRDefault="00B52C5C" w:rsidP="00A13463">
      <w:pPr>
        <w:jc w:val="both"/>
        <w:rPr>
          <w:rFonts w:ascii="Traditional Arabic" w:eastAsia="Times New Roman" w:hAnsi="Traditional Arabic" w:cs="Traditional Arabic"/>
          <w:sz w:val="32"/>
          <w:szCs w:val="32"/>
          <w:rtl/>
        </w:rPr>
      </w:pPr>
      <w:r w:rsidRPr="00A13463">
        <w:rPr>
          <w:rFonts w:ascii="Traditional Arabic" w:eastAsia="Times New Roman" w:hAnsi="Traditional Arabic" w:cs="Traditional Arabic"/>
          <w:sz w:val="32"/>
          <w:szCs w:val="32"/>
          <w:rtl/>
        </w:rPr>
        <w:t xml:space="preserve">يمكن القول أنه اختتمت صناعة "صناديق </w:t>
      </w:r>
      <w:r w:rsidR="00485F25" w:rsidRPr="00A13463">
        <w:rPr>
          <w:rFonts w:ascii="Traditional Arabic" w:eastAsia="Times New Roman" w:hAnsi="Traditional Arabic" w:cs="Traditional Arabic"/>
          <w:sz w:val="32"/>
          <w:szCs w:val="32"/>
          <w:rtl/>
        </w:rPr>
        <w:t>التحوُّط</w:t>
      </w:r>
      <w:r w:rsidRPr="00A13463">
        <w:rPr>
          <w:rFonts w:ascii="Traditional Arabic" w:eastAsia="Times New Roman" w:hAnsi="Traditional Arabic" w:cs="Traditional Arabic"/>
          <w:sz w:val="32"/>
          <w:szCs w:val="32"/>
          <w:rtl/>
        </w:rPr>
        <w:t xml:space="preserve">" </w:t>
      </w:r>
      <w:r w:rsidR="00A13463" w:rsidRPr="00A13463">
        <w:rPr>
          <w:rFonts w:ascii="Traditional Arabic" w:eastAsia="Times New Roman" w:hAnsi="Traditional Arabic" w:cs="Traditional Arabic" w:hint="cs"/>
          <w:sz w:val="32"/>
          <w:szCs w:val="32"/>
          <w:rtl/>
        </w:rPr>
        <w:t>في</w:t>
      </w:r>
      <w:r w:rsidRPr="00A13463">
        <w:rPr>
          <w:rFonts w:ascii="Traditional Arabic" w:eastAsia="Times New Roman" w:hAnsi="Traditional Arabic" w:cs="Traditional Arabic"/>
          <w:sz w:val="32"/>
          <w:szCs w:val="32"/>
          <w:rtl/>
        </w:rPr>
        <w:t xml:space="preserve"> العالم أسوأ عام </w:t>
      </w:r>
      <w:r w:rsidR="00A13463" w:rsidRPr="00A13463">
        <w:rPr>
          <w:rFonts w:ascii="Traditional Arabic" w:eastAsia="Times New Roman" w:hAnsi="Traditional Arabic" w:cs="Traditional Arabic" w:hint="cs"/>
          <w:sz w:val="32"/>
          <w:szCs w:val="32"/>
          <w:rtl/>
        </w:rPr>
        <w:t>في</w:t>
      </w:r>
      <w:r w:rsidRPr="00A13463">
        <w:rPr>
          <w:rFonts w:ascii="Traditional Arabic" w:eastAsia="Times New Roman" w:hAnsi="Traditional Arabic" w:cs="Traditional Arabic"/>
          <w:sz w:val="32"/>
          <w:szCs w:val="32"/>
          <w:rtl/>
        </w:rPr>
        <w:t xml:space="preserve"> تاريخها بسحب المستثمرين لرأس مال هائل بلغ </w:t>
      </w:r>
      <w:r w:rsidRPr="00EB50EB">
        <w:rPr>
          <w:rFonts w:ascii="Traditional Arabic" w:eastAsia="Times New Roman" w:hAnsi="Traditional Arabic" w:cs="Traditional Arabic"/>
          <w:sz w:val="24"/>
          <w:szCs w:val="24"/>
          <w:rtl/>
        </w:rPr>
        <w:t>152</w:t>
      </w:r>
      <w:r w:rsidRPr="00A13463">
        <w:rPr>
          <w:rFonts w:ascii="Traditional Arabic" w:eastAsia="Times New Roman" w:hAnsi="Traditional Arabic" w:cs="Traditional Arabic"/>
          <w:sz w:val="32"/>
          <w:szCs w:val="32"/>
          <w:rtl/>
        </w:rPr>
        <w:t xml:space="preserve"> مليار دولار </w:t>
      </w:r>
      <w:r w:rsidR="00A13463" w:rsidRPr="00A13463">
        <w:rPr>
          <w:rFonts w:ascii="Traditional Arabic" w:eastAsia="Times New Roman" w:hAnsi="Traditional Arabic" w:cs="Traditional Arabic" w:hint="cs"/>
          <w:sz w:val="32"/>
          <w:szCs w:val="32"/>
          <w:rtl/>
        </w:rPr>
        <w:t>أمريكي</w:t>
      </w:r>
      <w:r w:rsidRPr="00A13463">
        <w:rPr>
          <w:rFonts w:ascii="Traditional Arabic" w:eastAsia="Times New Roman" w:hAnsi="Traditional Arabic" w:cs="Traditional Arabic"/>
          <w:sz w:val="32"/>
          <w:szCs w:val="32"/>
          <w:rtl/>
        </w:rPr>
        <w:t xml:space="preserve"> </w:t>
      </w:r>
      <w:r w:rsidR="00A13463" w:rsidRPr="00A13463">
        <w:rPr>
          <w:rFonts w:ascii="Traditional Arabic" w:eastAsia="Times New Roman" w:hAnsi="Traditional Arabic" w:cs="Traditional Arabic" w:hint="cs"/>
          <w:sz w:val="32"/>
          <w:szCs w:val="32"/>
          <w:rtl/>
        </w:rPr>
        <w:t>في</w:t>
      </w:r>
      <w:r w:rsidRPr="00A13463">
        <w:rPr>
          <w:rFonts w:ascii="Traditional Arabic" w:eastAsia="Times New Roman" w:hAnsi="Traditional Arabic" w:cs="Traditional Arabic"/>
          <w:sz w:val="32"/>
          <w:szCs w:val="32"/>
          <w:rtl/>
        </w:rPr>
        <w:t xml:space="preserve"> الربع الأخير لعام </w:t>
      </w:r>
      <w:r w:rsidRPr="00EB50EB">
        <w:rPr>
          <w:rFonts w:ascii="Traditional Arabic" w:eastAsia="Times New Roman" w:hAnsi="Traditional Arabic" w:cs="Traditional Arabic"/>
          <w:sz w:val="24"/>
          <w:szCs w:val="24"/>
          <w:rtl/>
        </w:rPr>
        <w:t>2008</w:t>
      </w:r>
      <w:r w:rsidRPr="00A13463">
        <w:rPr>
          <w:rFonts w:ascii="Traditional Arabic" w:eastAsia="Times New Roman" w:hAnsi="Traditional Arabic" w:cs="Traditional Arabic"/>
          <w:sz w:val="32"/>
          <w:szCs w:val="32"/>
          <w:rtl/>
        </w:rPr>
        <w:t xml:space="preserve">، وذلك وفقاً للبيانات </w:t>
      </w:r>
      <w:r w:rsidR="00A13463" w:rsidRPr="00A13463">
        <w:rPr>
          <w:rFonts w:ascii="Traditional Arabic" w:eastAsia="Times New Roman" w:hAnsi="Traditional Arabic" w:cs="Traditional Arabic" w:hint="cs"/>
          <w:sz w:val="32"/>
          <w:szCs w:val="32"/>
          <w:rtl/>
        </w:rPr>
        <w:t>التي</w:t>
      </w:r>
      <w:r w:rsidRPr="00A13463">
        <w:rPr>
          <w:rFonts w:ascii="Traditional Arabic" w:eastAsia="Times New Roman" w:hAnsi="Traditional Arabic" w:cs="Traditional Arabic"/>
          <w:sz w:val="32"/>
          <w:szCs w:val="32"/>
          <w:rtl/>
        </w:rPr>
        <w:t xml:space="preserve"> أصدرتها مؤسسة بحوث صناديق </w:t>
      </w:r>
      <w:r w:rsidR="00485F25" w:rsidRPr="00A13463">
        <w:rPr>
          <w:rFonts w:ascii="Traditional Arabic" w:eastAsia="Times New Roman" w:hAnsi="Traditional Arabic" w:cs="Traditional Arabic"/>
          <w:sz w:val="32"/>
          <w:szCs w:val="32"/>
          <w:rtl/>
        </w:rPr>
        <w:t>التحوُّط</w:t>
      </w:r>
      <w:r w:rsidRPr="00A13463">
        <w:rPr>
          <w:rFonts w:ascii="Traditional Arabic" w:eastAsia="Times New Roman" w:hAnsi="Traditional Arabic" w:cs="Traditional Arabic"/>
          <w:sz w:val="32"/>
          <w:szCs w:val="32"/>
          <w:rtl/>
        </w:rPr>
        <w:t xml:space="preserve">، وهى إحدى المؤسسات الرائدة </w:t>
      </w:r>
      <w:r w:rsidR="00A13463" w:rsidRPr="00A13463">
        <w:rPr>
          <w:rFonts w:ascii="Traditional Arabic" w:eastAsia="Times New Roman" w:hAnsi="Traditional Arabic" w:cs="Traditional Arabic" w:hint="cs"/>
          <w:sz w:val="32"/>
          <w:szCs w:val="32"/>
          <w:rtl/>
        </w:rPr>
        <w:t>في</w:t>
      </w:r>
      <w:r w:rsidRPr="00A13463">
        <w:rPr>
          <w:rFonts w:ascii="Traditional Arabic" w:eastAsia="Times New Roman" w:hAnsi="Traditional Arabic" w:cs="Traditional Arabic"/>
          <w:sz w:val="32"/>
          <w:szCs w:val="32"/>
          <w:rtl/>
        </w:rPr>
        <w:t xml:space="preserve"> مجال تقديم بيانات صناديق </w:t>
      </w:r>
      <w:r w:rsidR="00485F25" w:rsidRPr="00A13463">
        <w:rPr>
          <w:rFonts w:ascii="Traditional Arabic" w:eastAsia="Times New Roman" w:hAnsi="Traditional Arabic" w:cs="Traditional Arabic"/>
          <w:sz w:val="32"/>
          <w:szCs w:val="32"/>
          <w:rtl/>
        </w:rPr>
        <w:t>التحوُّط</w:t>
      </w:r>
      <w:r w:rsidR="00A13463">
        <w:rPr>
          <w:rFonts w:ascii="Traditional Arabic" w:eastAsia="Times New Roman" w:hAnsi="Traditional Arabic" w:cs="Traditional Arabic"/>
          <w:sz w:val="32"/>
          <w:szCs w:val="32"/>
          <w:rtl/>
        </w:rPr>
        <w:t>.</w:t>
      </w:r>
      <w:r w:rsidRPr="00A13463">
        <w:rPr>
          <w:rFonts w:ascii="Traditional Arabic" w:eastAsia="Times New Roman" w:hAnsi="Traditional Arabic" w:cs="Traditional Arabic"/>
          <w:sz w:val="32"/>
          <w:szCs w:val="32"/>
          <w:rtl/>
        </w:rPr>
        <w:br/>
        <w:t xml:space="preserve">لقد تراجع مؤشر مؤسسة بحوث صناديق </w:t>
      </w:r>
      <w:r w:rsidR="00485F25" w:rsidRPr="00A13463">
        <w:rPr>
          <w:rFonts w:ascii="Traditional Arabic" w:eastAsia="Times New Roman" w:hAnsi="Traditional Arabic" w:cs="Traditional Arabic"/>
          <w:sz w:val="32"/>
          <w:szCs w:val="32"/>
          <w:rtl/>
        </w:rPr>
        <w:t>التحوُّط</w:t>
      </w:r>
      <w:r w:rsidRPr="00A13463">
        <w:rPr>
          <w:rFonts w:ascii="Traditional Arabic" w:eastAsia="Times New Roman" w:hAnsi="Traditional Arabic" w:cs="Traditional Arabic"/>
          <w:sz w:val="32"/>
          <w:szCs w:val="32"/>
          <w:rtl/>
        </w:rPr>
        <w:t xml:space="preserve"> المركب الخاص بالصناديق ذات الأهمية والثقل بنسبة </w:t>
      </w:r>
      <w:r w:rsidRPr="00EB50EB">
        <w:rPr>
          <w:rFonts w:ascii="Traditional Arabic" w:eastAsia="Times New Roman" w:hAnsi="Traditional Arabic" w:cs="Traditional Arabic"/>
          <w:sz w:val="24"/>
          <w:szCs w:val="24"/>
          <w:rtl/>
        </w:rPr>
        <w:t xml:space="preserve">18.3% </w:t>
      </w:r>
      <w:r w:rsidRPr="00A13463">
        <w:rPr>
          <w:rFonts w:ascii="Traditional Arabic" w:eastAsia="Times New Roman" w:hAnsi="Traditional Arabic" w:cs="Traditional Arabic"/>
          <w:sz w:val="32"/>
          <w:szCs w:val="32"/>
          <w:rtl/>
        </w:rPr>
        <w:t xml:space="preserve">لعام </w:t>
      </w:r>
      <w:r w:rsidRPr="00EB50EB">
        <w:rPr>
          <w:rFonts w:ascii="Traditional Arabic" w:eastAsia="Times New Roman" w:hAnsi="Traditional Arabic" w:cs="Traditional Arabic"/>
          <w:sz w:val="24"/>
          <w:szCs w:val="24"/>
          <w:rtl/>
        </w:rPr>
        <w:t>2008</w:t>
      </w:r>
      <w:r w:rsidRPr="00A13463">
        <w:rPr>
          <w:rFonts w:ascii="Traditional Arabic" w:eastAsia="Times New Roman" w:hAnsi="Traditional Arabic" w:cs="Traditional Arabic"/>
          <w:sz w:val="32"/>
          <w:szCs w:val="32"/>
          <w:rtl/>
        </w:rPr>
        <w:t xml:space="preserve">، وهو العام </w:t>
      </w:r>
      <w:r w:rsidR="00A13463" w:rsidRPr="00A13463">
        <w:rPr>
          <w:rFonts w:ascii="Traditional Arabic" w:eastAsia="Times New Roman" w:hAnsi="Traditional Arabic" w:cs="Traditional Arabic" w:hint="cs"/>
          <w:sz w:val="32"/>
          <w:szCs w:val="32"/>
          <w:rtl/>
        </w:rPr>
        <w:t>الثاني</w:t>
      </w:r>
      <w:r w:rsidRPr="00A13463">
        <w:rPr>
          <w:rFonts w:ascii="Traditional Arabic" w:eastAsia="Times New Roman" w:hAnsi="Traditional Arabic" w:cs="Traditional Arabic"/>
          <w:sz w:val="32"/>
          <w:szCs w:val="32"/>
          <w:rtl/>
        </w:rPr>
        <w:t xml:space="preserve"> فقط </w:t>
      </w:r>
      <w:r w:rsidR="00A13463" w:rsidRPr="00A13463">
        <w:rPr>
          <w:rFonts w:ascii="Traditional Arabic" w:eastAsia="Times New Roman" w:hAnsi="Traditional Arabic" w:cs="Traditional Arabic" w:hint="cs"/>
          <w:sz w:val="32"/>
          <w:szCs w:val="32"/>
          <w:rtl/>
        </w:rPr>
        <w:t>الذي</w:t>
      </w:r>
      <w:r w:rsidR="00A13463">
        <w:rPr>
          <w:rFonts w:ascii="Traditional Arabic" w:eastAsia="Times New Roman" w:hAnsi="Traditional Arabic" w:cs="Traditional Arabic"/>
          <w:sz w:val="32"/>
          <w:szCs w:val="32"/>
          <w:rtl/>
        </w:rPr>
        <w:t xml:space="preserve"> انخفض فيه المؤشر منذ </w:t>
      </w:r>
      <w:r w:rsidR="00A13463" w:rsidRPr="00EB50EB">
        <w:rPr>
          <w:rFonts w:ascii="Traditional Arabic" w:eastAsia="Times New Roman" w:hAnsi="Traditional Arabic" w:cs="Traditional Arabic"/>
          <w:sz w:val="24"/>
          <w:szCs w:val="24"/>
          <w:rtl/>
        </w:rPr>
        <w:t>1990</w:t>
      </w:r>
      <w:r w:rsidR="00A13463">
        <w:rPr>
          <w:rFonts w:ascii="Traditional Arabic" w:eastAsia="Times New Roman" w:hAnsi="Traditional Arabic" w:cs="Traditional Arabic"/>
          <w:sz w:val="32"/>
          <w:szCs w:val="32"/>
          <w:rtl/>
        </w:rPr>
        <w:t xml:space="preserve">. </w:t>
      </w:r>
      <w:r w:rsidRPr="00A13463">
        <w:rPr>
          <w:rFonts w:ascii="Traditional Arabic" w:eastAsia="Times New Roman" w:hAnsi="Traditional Arabic" w:cs="Traditional Arabic"/>
          <w:sz w:val="32"/>
          <w:szCs w:val="32"/>
          <w:rtl/>
        </w:rPr>
        <w:br/>
        <w:t xml:space="preserve">وعانت صناعة </w:t>
      </w:r>
      <w:r w:rsidR="00485F25" w:rsidRPr="00A13463">
        <w:rPr>
          <w:rFonts w:ascii="Traditional Arabic" w:eastAsia="Times New Roman" w:hAnsi="Traditional Arabic" w:cs="Traditional Arabic"/>
          <w:sz w:val="32"/>
          <w:szCs w:val="32"/>
          <w:rtl/>
        </w:rPr>
        <w:t>التحوُّط</w:t>
      </w:r>
      <w:r w:rsidRPr="00A13463">
        <w:rPr>
          <w:rFonts w:ascii="Traditional Arabic" w:eastAsia="Times New Roman" w:hAnsi="Traditional Arabic" w:cs="Traditional Arabic"/>
          <w:sz w:val="32"/>
          <w:szCs w:val="32"/>
          <w:rtl/>
        </w:rPr>
        <w:t xml:space="preserve">، أثناء عام </w:t>
      </w:r>
      <w:r w:rsidRPr="00EB50EB">
        <w:rPr>
          <w:rFonts w:ascii="Traditional Arabic" w:eastAsia="Times New Roman" w:hAnsi="Traditional Arabic" w:cs="Traditional Arabic"/>
          <w:sz w:val="24"/>
          <w:szCs w:val="24"/>
          <w:rtl/>
        </w:rPr>
        <w:t>2008</w:t>
      </w:r>
      <w:r w:rsidRPr="00A13463">
        <w:rPr>
          <w:rFonts w:ascii="Traditional Arabic" w:eastAsia="Times New Roman" w:hAnsi="Traditional Arabic" w:cs="Traditional Arabic"/>
          <w:sz w:val="32"/>
          <w:szCs w:val="32"/>
          <w:rtl/>
        </w:rPr>
        <w:t xml:space="preserve">، من فترة انحدارات وهبوط لمدة ستة أشهر متتالية، فيما بين </w:t>
      </w:r>
      <w:r w:rsidR="00A13463" w:rsidRPr="00A13463">
        <w:rPr>
          <w:rFonts w:ascii="Traditional Arabic" w:eastAsia="Times New Roman" w:hAnsi="Traditional Arabic" w:cs="Traditional Arabic" w:hint="cs"/>
          <w:sz w:val="32"/>
          <w:szCs w:val="32"/>
          <w:rtl/>
        </w:rPr>
        <w:t>شهري</w:t>
      </w:r>
      <w:r w:rsidRPr="00A13463">
        <w:rPr>
          <w:rFonts w:ascii="Traditional Arabic" w:eastAsia="Times New Roman" w:hAnsi="Traditional Arabic" w:cs="Traditional Arabic"/>
          <w:sz w:val="32"/>
          <w:szCs w:val="32"/>
          <w:rtl/>
        </w:rPr>
        <w:t xml:space="preserve"> حزيران  وتشرين </w:t>
      </w:r>
      <w:r w:rsidR="00A13463" w:rsidRPr="00A13463">
        <w:rPr>
          <w:rFonts w:ascii="Traditional Arabic" w:eastAsia="Times New Roman" w:hAnsi="Traditional Arabic" w:cs="Traditional Arabic" w:hint="cs"/>
          <w:sz w:val="32"/>
          <w:szCs w:val="32"/>
          <w:rtl/>
        </w:rPr>
        <w:t>الأول</w:t>
      </w:r>
      <w:r w:rsidRPr="00A13463">
        <w:rPr>
          <w:rFonts w:ascii="Traditional Arabic" w:eastAsia="Times New Roman" w:hAnsi="Traditional Arabic" w:cs="Traditional Arabic"/>
          <w:sz w:val="32"/>
          <w:szCs w:val="32"/>
          <w:rtl/>
        </w:rPr>
        <w:t xml:space="preserve">  تخللها ارتفاع بنسبة </w:t>
      </w:r>
      <w:r w:rsidRPr="00EB50EB">
        <w:rPr>
          <w:rFonts w:ascii="Traditional Arabic" w:eastAsia="Times New Roman" w:hAnsi="Traditional Arabic" w:cs="Traditional Arabic"/>
          <w:sz w:val="24"/>
          <w:szCs w:val="24"/>
          <w:rtl/>
        </w:rPr>
        <w:t>0.41%</w:t>
      </w:r>
      <w:r w:rsidRPr="00A13463">
        <w:rPr>
          <w:rFonts w:ascii="Traditional Arabic" w:eastAsia="Times New Roman" w:hAnsi="Traditional Arabic" w:cs="Traditional Arabic"/>
          <w:sz w:val="32"/>
          <w:szCs w:val="32"/>
          <w:rtl/>
        </w:rPr>
        <w:t xml:space="preserve"> </w:t>
      </w:r>
      <w:r w:rsidR="00A13463" w:rsidRPr="00A13463">
        <w:rPr>
          <w:rFonts w:ascii="Traditional Arabic" w:eastAsia="Times New Roman" w:hAnsi="Traditional Arabic" w:cs="Traditional Arabic" w:hint="cs"/>
          <w:sz w:val="32"/>
          <w:szCs w:val="32"/>
          <w:rtl/>
        </w:rPr>
        <w:t>في</w:t>
      </w:r>
      <w:r w:rsidRPr="00A13463">
        <w:rPr>
          <w:rFonts w:ascii="Traditional Arabic" w:eastAsia="Times New Roman" w:hAnsi="Traditional Arabic" w:cs="Traditional Arabic"/>
          <w:sz w:val="32"/>
          <w:szCs w:val="32"/>
          <w:rtl/>
        </w:rPr>
        <w:t xml:space="preserve"> شهر كانون </w:t>
      </w:r>
      <w:r w:rsidR="00A13463" w:rsidRPr="00A13463">
        <w:rPr>
          <w:rFonts w:ascii="Traditional Arabic" w:eastAsia="Times New Roman" w:hAnsi="Traditional Arabic" w:cs="Traditional Arabic" w:hint="cs"/>
          <w:sz w:val="32"/>
          <w:szCs w:val="32"/>
          <w:rtl/>
        </w:rPr>
        <w:t>الأول</w:t>
      </w:r>
      <w:r w:rsidRPr="00A13463">
        <w:rPr>
          <w:rFonts w:ascii="Traditional Arabic" w:eastAsia="Times New Roman" w:hAnsi="Traditional Arabic" w:cs="Traditional Arabic"/>
          <w:sz w:val="32"/>
          <w:szCs w:val="32"/>
          <w:rtl/>
        </w:rPr>
        <w:t xml:space="preserve">  فقط، واشتملت على تذبذب مركز لمدة شهرين </w:t>
      </w:r>
      <w:r w:rsidR="00A13463" w:rsidRPr="00A13463">
        <w:rPr>
          <w:rFonts w:ascii="Traditional Arabic" w:eastAsia="Times New Roman" w:hAnsi="Traditional Arabic" w:cs="Traditional Arabic" w:hint="cs"/>
          <w:sz w:val="32"/>
          <w:szCs w:val="32"/>
          <w:rtl/>
        </w:rPr>
        <w:t>في</w:t>
      </w:r>
      <w:r w:rsidRPr="00A13463">
        <w:rPr>
          <w:rFonts w:ascii="Traditional Arabic" w:eastAsia="Times New Roman" w:hAnsi="Traditional Arabic" w:cs="Traditional Arabic"/>
          <w:sz w:val="32"/>
          <w:szCs w:val="32"/>
          <w:rtl/>
        </w:rPr>
        <w:t xml:space="preserve"> </w:t>
      </w:r>
      <w:r w:rsidR="00A13463" w:rsidRPr="00A13463">
        <w:rPr>
          <w:rFonts w:ascii="Traditional Arabic" w:eastAsia="Times New Roman" w:hAnsi="Traditional Arabic" w:cs="Traditional Arabic" w:hint="cs"/>
          <w:sz w:val="32"/>
          <w:szCs w:val="32"/>
          <w:rtl/>
        </w:rPr>
        <w:t>أيلول</w:t>
      </w:r>
      <w:r w:rsidRPr="00A13463">
        <w:rPr>
          <w:rFonts w:ascii="Traditional Arabic" w:eastAsia="Times New Roman" w:hAnsi="Traditional Arabic" w:cs="Traditional Arabic"/>
          <w:sz w:val="32"/>
          <w:szCs w:val="32"/>
          <w:rtl/>
        </w:rPr>
        <w:t xml:space="preserve"> وتشرين الثاني  تراكم فيهما ا</w:t>
      </w:r>
      <w:r w:rsidR="00A13463">
        <w:rPr>
          <w:rFonts w:ascii="Traditional Arabic" w:eastAsia="Times New Roman" w:hAnsi="Traditional Arabic" w:cs="Traditional Arabic"/>
          <w:sz w:val="32"/>
          <w:szCs w:val="32"/>
          <w:rtl/>
        </w:rPr>
        <w:t xml:space="preserve">لانخفاض حتى وصلت نسبته إلى </w:t>
      </w:r>
      <w:r w:rsidR="00A13463" w:rsidRPr="00EB50EB">
        <w:rPr>
          <w:rFonts w:ascii="Traditional Arabic" w:eastAsia="Times New Roman" w:hAnsi="Traditional Arabic" w:cs="Traditional Arabic"/>
          <w:sz w:val="24"/>
          <w:szCs w:val="24"/>
          <w:rtl/>
        </w:rPr>
        <w:t>13%.</w:t>
      </w:r>
      <w:r w:rsidRPr="00A13463">
        <w:rPr>
          <w:rFonts w:ascii="Traditional Arabic" w:eastAsia="Times New Roman" w:hAnsi="Traditional Arabic" w:cs="Traditional Arabic"/>
          <w:sz w:val="32"/>
          <w:szCs w:val="32"/>
          <w:rtl/>
        </w:rPr>
        <w:br/>
        <w:t xml:space="preserve">ومع انخفاض الأداء وزيادة تذبذب الأسعار، قام المستثمرون </w:t>
      </w:r>
      <w:r w:rsidR="00A13463" w:rsidRPr="00A13463">
        <w:rPr>
          <w:rFonts w:ascii="Traditional Arabic" w:eastAsia="Times New Roman" w:hAnsi="Traditional Arabic" w:cs="Traditional Arabic" w:hint="cs"/>
          <w:sz w:val="32"/>
          <w:szCs w:val="32"/>
          <w:rtl/>
        </w:rPr>
        <w:t>في</w:t>
      </w:r>
      <w:r w:rsidRPr="00A13463">
        <w:rPr>
          <w:rFonts w:ascii="Traditional Arabic" w:eastAsia="Times New Roman" w:hAnsi="Traditional Arabic" w:cs="Traditional Arabic"/>
          <w:sz w:val="32"/>
          <w:szCs w:val="32"/>
          <w:rtl/>
        </w:rPr>
        <w:t xml:space="preserve"> أثناء </w:t>
      </w:r>
      <w:r w:rsidRPr="00EB50EB">
        <w:rPr>
          <w:rFonts w:ascii="Traditional Arabic" w:eastAsia="Times New Roman" w:hAnsi="Traditional Arabic" w:cs="Traditional Arabic"/>
          <w:sz w:val="24"/>
          <w:szCs w:val="24"/>
          <w:rtl/>
        </w:rPr>
        <w:t>2008</w:t>
      </w:r>
      <w:r w:rsidRPr="00A13463">
        <w:rPr>
          <w:rFonts w:ascii="Traditional Arabic" w:eastAsia="Times New Roman" w:hAnsi="Traditional Arabic" w:cs="Traditional Arabic"/>
          <w:sz w:val="32"/>
          <w:szCs w:val="32"/>
          <w:rtl/>
        </w:rPr>
        <w:t xml:space="preserve"> بسحب </w:t>
      </w:r>
      <w:r w:rsidRPr="00EB50EB">
        <w:rPr>
          <w:rFonts w:ascii="Traditional Arabic" w:eastAsia="Times New Roman" w:hAnsi="Traditional Arabic" w:cs="Traditional Arabic"/>
          <w:sz w:val="24"/>
          <w:szCs w:val="24"/>
          <w:rtl/>
        </w:rPr>
        <w:t>155</w:t>
      </w:r>
      <w:r w:rsidRPr="00A13463">
        <w:rPr>
          <w:rFonts w:ascii="Traditional Arabic" w:eastAsia="Times New Roman" w:hAnsi="Traditional Arabic" w:cs="Traditional Arabic"/>
          <w:sz w:val="32"/>
          <w:szCs w:val="32"/>
          <w:rtl/>
        </w:rPr>
        <w:t xml:space="preserve"> مليار دولار </w:t>
      </w:r>
      <w:r w:rsidR="00A13463" w:rsidRPr="00A13463">
        <w:rPr>
          <w:rFonts w:ascii="Traditional Arabic" w:eastAsia="Times New Roman" w:hAnsi="Traditional Arabic" w:cs="Traditional Arabic" w:hint="cs"/>
          <w:sz w:val="32"/>
          <w:szCs w:val="32"/>
          <w:rtl/>
        </w:rPr>
        <w:t>أمريكي</w:t>
      </w:r>
      <w:r w:rsidRPr="00A13463">
        <w:rPr>
          <w:rFonts w:ascii="Traditional Arabic" w:eastAsia="Times New Roman" w:hAnsi="Traditional Arabic" w:cs="Traditional Arabic"/>
          <w:sz w:val="32"/>
          <w:szCs w:val="32"/>
          <w:rtl/>
        </w:rPr>
        <w:t xml:space="preserve"> مشكلاً بذلك رقماً قياسياً، وتعتبر هذه المرة الثانية فقط </w:t>
      </w:r>
      <w:r w:rsidR="00A13463" w:rsidRPr="00A13463">
        <w:rPr>
          <w:rFonts w:ascii="Traditional Arabic" w:eastAsia="Times New Roman" w:hAnsi="Traditional Arabic" w:cs="Traditional Arabic" w:hint="cs"/>
          <w:sz w:val="32"/>
          <w:szCs w:val="32"/>
          <w:rtl/>
        </w:rPr>
        <w:t>التي</w:t>
      </w:r>
      <w:r w:rsidRPr="00A13463">
        <w:rPr>
          <w:rFonts w:ascii="Traditional Arabic" w:eastAsia="Times New Roman" w:hAnsi="Traditional Arabic" w:cs="Traditional Arabic"/>
          <w:sz w:val="32"/>
          <w:szCs w:val="32"/>
          <w:rtl/>
        </w:rPr>
        <w:t xml:space="preserve"> عانت فيها صناعة </w:t>
      </w:r>
      <w:r w:rsidR="00485F25" w:rsidRPr="00A13463">
        <w:rPr>
          <w:rFonts w:ascii="Traditional Arabic" w:eastAsia="Times New Roman" w:hAnsi="Traditional Arabic" w:cs="Traditional Arabic"/>
          <w:sz w:val="32"/>
          <w:szCs w:val="32"/>
          <w:rtl/>
        </w:rPr>
        <w:t>التحوُّط</w:t>
      </w:r>
      <w:r w:rsidR="00A13463">
        <w:rPr>
          <w:rFonts w:ascii="Traditional Arabic" w:eastAsia="Times New Roman" w:hAnsi="Traditional Arabic" w:cs="Traditional Arabic"/>
          <w:sz w:val="32"/>
          <w:szCs w:val="32"/>
          <w:rtl/>
        </w:rPr>
        <w:t xml:space="preserve"> من صاف</w:t>
      </w:r>
      <w:r w:rsidR="00A13463">
        <w:rPr>
          <w:rFonts w:ascii="Traditional Arabic" w:eastAsia="Times New Roman" w:hAnsi="Traditional Arabic" w:cs="Traditional Arabic" w:hint="cs"/>
          <w:sz w:val="32"/>
          <w:szCs w:val="32"/>
          <w:rtl/>
        </w:rPr>
        <w:t xml:space="preserve">ي </w:t>
      </w:r>
      <w:r w:rsidRPr="00A13463">
        <w:rPr>
          <w:rFonts w:ascii="Traditional Arabic" w:eastAsia="Times New Roman" w:hAnsi="Traditional Arabic" w:cs="Traditional Arabic"/>
          <w:sz w:val="32"/>
          <w:szCs w:val="32"/>
          <w:rtl/>
        </w:rPr>
        <w:t>تدفقات رؤوس أموال المستثمرين إلى خارج الصناديق منذ أن بدأت (</w:t>
      </w:r>
      <w:r w:rsidRPr="00A13463">
        <w:rPr>
          <w:rFonts w:ascii="Traditional Arabic" w:eastAsia="Times New Roman" w:hAnsi="Traditional Arabic" w:cs="Traditional Arabic"/>
          <w:sz w:val="32"/>
          <w:szCs w:val="32"/>
        </w:rPr>
        <w:t>HFR</w:t>
      </w:r>
      <w:r w:rsidRPr="00A13463">
        <w:rPr>
          <w:rFonts w:ascii="Traditional Arabic" w:eastAsia="Times New Roman" w:hAnsi="Traditional Arabic" w:cs="Traditional Arabic"/>
          <w:sz w:val="32"/>
          <w:szCs w:val="32"/>
          <w:rtl/>
        </w:rPr>
        <w:t xml:space="preserve">) </w:t>
      </w:r>
      <w:r w:rsidR="00A13463" w:rsidRPr="00A13463">
        <w:rPr>
          <w:rFonts w:ascii="Traditional Arabic" w:eastAsia="Times New Roman" w:hAnsi="Traditional Arabic" w:cs="Traditional Arabic" w:hint="cs"/>
          <w:sz w:val="32"/>
          <w:szCs w:val="32"/>
          <w:rtl/>
        </w:rPr>
        <w:t>في</w:t>
      </w:r>
      <w:r w:rsidRPr="00A13463">
        <w:rPr>
          <w:rFonts w:ascii="Traditional Arabic" w:eastAsia="Times New Roman" w:hAnsi="Traditional Arabic" w:cs="Traditional Arabic"/>
          <w:sz w:val="32"/>
          <w:szCs w:val="32"/>
          <w:rtl/>
        </w:rPr>
        <w:t xml:space="preserve"> تتبع تدفقات الأصول </w:t>
      </w:r>
      <w:r w:rsidR="00A13463" w:rsidRPr="00A13463">
        <w:rPr>
          <w:rFonts w:ascii="Traditional Arabic" w:eastAsia="Times New Roman" w:hAnsi="Traditional Arabic" w:cs="Traditional Arabic" w:hint="cs"/>
          <w:sz w:val="32"/>
          <w:szCs w:val="32"/>
          <w:rtl/>
        </w:rPr>
        <w:t>في</w:t>
      </w:r>
      <w:r w:rsidRPr="00A13463">
        <w:rPr>
          <w:rFonts w:ascii="Traditional Arabic" w:eastAsia="Times New Roman" w:hAnsi="Traditional Arabic" w:cs="Traditional Arabic"/>
          <w:sz w:val="32"/>
          <w:szCs w:val="32"/>
          <w:rtl/>
        </w:rPr>
        <w:t xml:space="preserve"> </w:t>
      </w:r>
      <w:r w:rsidRPr="00EB50EB">
        <w:rPr>
          <w:rFonts w:ascii="Traditional Arabic" w:eastAsia="Times New Roman" w:hAnsi="Traditional Arabic" w:cs="Traditional Arabic"/>
          <w:sz w:val="24"/>
          <w:szCs w:val="24"/>
          <w:rtl/>
        </w:rPr>
        <w:t>1990</w:t>
      </w:r>
      <w:r w:rsidRPr="00A13463">
        <w:rPr>
          <w:rFonts w:ascii="Traditional Arabic" w:eastAsia="Times New Roman" w:hAnsi="Traditional Arabic" w:cs="Traditional Arabic"/>
          <w:sz w:val="32"/>
          <w:szCs w:val="32"/>
          <w:rtl/>
        </w:rPr>
        <w:t>.</w:t>
      </w:r>
    </w:p>
    <w:p w:rsidR="006075C1" w:rsidRDefault="006075C1" w:rsidP="006075C1">
      <w:pPr>
        <w:rPr>
          <w:rFonts w:cs="Traditional Arabic"/>
          <w:b/>
          <w:bCs/>
          <w:sz w:val="36"/>
          <w:szCs w:val="36"/>
          <w:rtl/>
          <w:lang w:bidi="ar-SY"/>
        </w:rPr>
      </w:pPr>
      <w:r w:rsidRPr="00621AC7">
        <w:rPr>
          <w:rFonts w:cs="Traditional Arabic" w:hint="cs"/>
          <w:b/>
          <w:bCs/>
          <w:sz w:val="36"/>
          <w:szCs w:val="36"/>
          <w:rtl/>
          <w:lang w:bidi="ar-SY"/>
        </w:rPr>
        <w:t>دور المدير المالي في صناديق التحوُّط</w:t>
      </w:r>
    </w:p>
    <w:p w:rsidR="006075C1" w:rsidRPr="00621AC7" w:rsidRDefault="006075C1" w:rsidP="006075C1">
      <w:pPr>
        <w:spacing w:line="240" w:lineRule="auto"/>
        <w:rPr>
          <w:rFonts w:cs="Traditional Arabic"/>
          <w:sz w:val="32"/>
          <w:szCs w:val="32"/>
          <w:rtl/>
          <w:lang w:bidi="ar-SY"/>
        </w:rPr>
      </w:pPr>
      <w:r>
        <w:rPr>
          <w:rFonts w:cs="Traditional Arabic" w:hint="cs"/>
          <w:sz w:val="32"/>
          <w:szCs w:val="32"/>
          <w:rtl/>
          <w:lang w:bidi="ar-SY"/>
        </w:rPr>
        <w:t>لا شك أن للمدير المالي في هذه الصناديق الدور الأساسي الفاعل الذي يؤدي إلى النجاح أو إلى الفشل</w:t>
      </w:r>
    </w:p>
    <w:p w:rsidR="006075C1" w:rsidRDefault="006075C1" w:rsidP="006075C1">
      <w:pPr>
        <w:jc w:val="both"/>
        <w:rPr>
          <w:rFonts w:cs="Traditional Arabic"/>
          <w:sz w:val="32"/>
          <w:szCs w:val="32"/>
          <w:rtl/>
          <w:lang w:bidi="ar-SY"/>
        </w:rPr>
      </w:pPr>
      <w:r>
        <w:rPr>
          <w:rFonts w:cs="Traditional Arabic" w:hint="cs"/>
          <w:sz w:val="32"/>
          <w:szCs w:val="32"/>
          <w:rtl/>
          <w:lang w:bidi="ar-SY"/>
        </w:rPr>
        <w:t>وخاصة عندما يكون المدير الأعلى في الصندوق وغيره من المدراء أخصائيون ماليون أساساً, ويزداد دور المدير المالي في صناديق التحوُّط على غيره من المدراء الماليين في المنظمات والصناديق الأخرى على اعتبار أن من أهم خصائص صناديق التحوُّط فيما يخص المديرين:</w:t>
      </w:r>
    </w:p>
    <w:p w:rsidR="006075C1" w:rsidRDefault="006075C1" w:rsidP="006075C1">
      <w:pPr>
        <w:numPr>
          <w:ilvl w:val="0"/>
          <w:numId w:val="9"/>
        </w:numPr>
        <w:spacing w:after="0" w:line="240" w:lineRule="auto"/>
        <w:jc w:val="both"/>
        <w:rPr>
          <w:rFonts w:cs="Traditional Arabic"/>
          <w:sz w:val="32"/>
          <w:szCs w:val="32"/>
          <w:lang w:bidi="ar-SY"/>
        </w:rPr>
      </w:pPr>
      <w:r>
        <w:rPr>
          <w:rFonts w:cs="Traditional Arabic" w:hint="cs"/>
          <w:sz w:val="32"/>
          <w:szCs w:val="32"/>
          <w:rtl/>
          <w:lang w:bidi="ar-SY"/>
        </w:rPr>
        <w:t xml:space="preserve">ليس هناك أي قيود على مدير الصندوق من الجهات المنظِّمة في آليات الاستثمار ومن حيث استخدام الرفع المالي أو أدوات المشتقات المالية أو البيع على المكشوف وهذا ما يعطى للمدير </w:t>
      </w:r>
      <w:r>
        <w:rPr>
          <w:rFonts w:cs="Traditional Arabic" w:hint="cs"/>
          <w:sz w:val="32"/>
          <w:szCs w:val="32"/>
          <w:rtl/>
          <w:lang w:bidi="ar-SY"/>
        </w:rPr>
        <w:lastRenderedPageBreak/>
        <w:t>المالي السلطة المطلقة في اتخاذ القرارات الاستراتيجية والمحددة لسياسة صناديق التحوُّط في الاستثمار.</w:t>
      </w:r>
    </w:p>
    <w:p w:rsidR="006075C1" w:rsidRDefault="006075C1" w:rsidP="006075C1">
      <w:pPr>
        <w:numPr>
          <w:ilvl w:val="0"/>
          <w:numId w:val="9"/>
        </w:numPr>
        <w:spacing w:after="0" w:line="240" w:lineRule="auto"/>
        <w:jc w:val="both"/>
        <w:rPr>
          <w:rFonts w:cs="Traditional Arabic"/>
          <w:sz w:val="32"/>
          <w:szCs w:val="32"/>
          <w:lang w:bidi="ar-SY"/>
        </w:rPr>
      </w:pPr>
      <w:r>
        <w:rPr>
          <w:rFonts w:cs="Traditional Arabic" w:hint="cs"/>
          <w:sz w:val="32"/>
          <w:szCs w:val="32"/>
          <w:rtl/>
          <w:lang w:bidi="ar-SY"/>
        </w:rPr>
        <w:t xml:space="preserve">يتقاضى مدير الصندوق أجور عالية جداً حيث تتراوح ما بين </w:t>
      </w:r>
      <w:r w:rsidRPr="00F342AE">
        <w:rPr>
          <w:rFonts w:cs="Traditional Arabic" w:hint="cs"/>
          <w:rtl/>
          <w:lang w:bidi="ar-SY"/>
        </w:rPr>
        <w:t>1- 2%</w:t>
      </w:r>
      <w:r>
        <w:rPr>
          <w:rFonts w:cs="Traditional Arabic" w:hint="cs"/>
          <w:sz w:val="32"/>
          <w:szCs w:val="32"/>
          <w:rtl/>
          <w:lang w:bidi="ar-SY"/>
        </w:rPr>
        <w:t xml:space="preserve"> من قيمة الأصول إضافة إلى </w:t>
      </w:r>
      <w:r w:rsidRPr="00F342AE">
        <w:rPr>
          <w:rFonts w:cs="Traditional Arabic" w:hint="cs"/>
          <w:rtl/>
          <w:lang w:bidi="ar-SY"/>
        </w:rPr>
        <w:t xml:space="preserve">20% </w:t>
      </w:r>
      <w:r>
        <w:rPr>
          <w:rFonts w:cs="Traditional Arabic" w:hint="cs"/>
          <w:sz w:val="32"/>
          <w:szCs w:val="32"/>
          <w:rtl/>
          <w:lang w:bidi="ar-SY"/>
        </w:rPr>
        <w:t>من الأرباح وهذا ما يدفع المدير المالي ويحفزه على العمل لمصلحة صناديق التحوُّط سعياً لتحقيق مزيد من الأرباح.</w:t>
      </w:r>
    </w:p>
    <w:p w:rsidR="00B52C5C" w:rsidRDefault="006075C1" w:rsidP="006075C1">
      <w:pPr>
        <w:jc w:val="both"/>
        <w:rPr>
          <w:rFonts w:ascii="Traditional Arabic" w:eastAsia="Times New Roman" w:hAnsi="Traditional Arabic" w:cs="Traditional Arabic"/>
          <w:sz w:val="32"/>
          <w:szCs w:val="32"/>
          <w:rtl/>
          <w:lang w:bidi="ar-SY"/>
        </w:rPr>
      </w:pPr>
      <w:r>
        <w:rPr>
          <w:rFonts w:cs="Traditional Arabic" w:hint="cs"/>
          <w:sz w:val="32"/>
          <w:szCs w:val="32"/>
          <w:rtl/>
          <w:lang w:bidi="ar-SY"/>
        </w:rPr>
        <w:t xml:space="preserve">  مما سبق نخلص القول إلى أن دور المدير المالي في صناديق التحوُّط يوازي دور المدراء الإستراتيجيون في منظمات الأعمال الأخرى الذين يحركون هذه المنظمات ويحددون مسارها وبالتالي نجاحها وفشلها؛ إلا أن الأزمة المالية كان لها تأثير على الصناديق التحوُّط يفوق قدرة مدرائها على اتخاذ القرارات الصحيحة في ظل الأزمات على اعتبار أن التهديدات من البيئة الخارجية كانت أكبر بكثير من نقاط القوة التي تتمتع بها صناديق التحوُّط وهي قوة مدرائها الماليون.   </w:t>
      </w:r>
      <w:r w:rsidR="00B52C5C" w:rsidRPr="00966167">
        <w:rPr>
          <w:rFonts w:ascii="Traditional Arabic" w:eastAsia="Times New Roman" w:hAnsi="Traditional Arabic" w:cs="Traditional Arabic"/>
          <w:sz w:val="32"/>
          <w:szCs w:val="32"/>
          <w:rtl/>
          <w:lang w:bidi="ar-SY"/>
        </w:rPr>
        <w:t> </w:t>
      </w:r>
    </w:p>
    <w:p w:rsidR="001B0FBC" w:rsidRDefault="001B0FBC" w:rsidP="00B52C5C">
      <w:pPr>
        <w:rPr>
          <w:rFonts w:ascii="Traditional Arabic" w:eastAsia="Times New Roman" w:hAnsi="Traditional Arabic" w:cs="Traditional Arabic"/>
          <w:sz w:val="32"/>
          <w:szCs w:val="32"/>
          <w:rtl/>
          <w:lang w:bidi="ar-SY"/>
        </w:rPr>
      </w:pPr>
    </w:p>
    <w:p w:rsidR="001B0FBC" w:rsidRDefault="001B0FBC" w:rsidP="00B52C5C">
      <w:pPr>
        <w:rPr>
          <w:rFonts w:ascii="Traditional Arabic" w:eastAsia="Times New Roman" w:hAnsi="Traditional Arabic" w:cs="Traditional Arabic"/>
          <w:sz w:val="32"/>
          <w:szCs w:val="32"/>
          <w:rtl/>
          <w:lang w:bidi="ar-SY"/>
        </w:rPr>
      </w:pPr>
    </w:p>
    <w:p w:rsidR="001B0FBC" w:rsidRDefault="001B0FBC" w:rsidP="00B52C5C">
      <w:pPr>
        <w:rPr>
          <w:rFonts w:ascii="Traditional Arabic" w:eastAsia="Times New Roman" w:hAnsi="Traditional Arabic" w:cs="Traditional Arabic"/>
          <w:sz w:val="32"/>
          <w:szCs w:val="32"/>
          <w:rtl/>
          <w:lang w:bidi="ar-SY"/>
        </w:rPr>
      </w:pPr>
    </w:p>
    <w:p w:rsidR="001B0FBC" w:rsidRDefault="001B0FBC" w:rsidP="00B52C5C">
      <w:pPr>
        <w:rPr>
          <w:rFonts w:ascii="Traditional Arabic" w:eastAsia="Times New Roman" w:hAnsi="Traditional Arabic" w:cs="Traditional Arabic"/>
          <w:sz w:val="32"/>
          <w:szCs w:val="32"/>
          <w:rtl/>
          <w:lang w:bidi="ar-SY"/>
        </w:rPr>
      </w:pPr>
    </w:p>
    <w:p w:rsidR="001B0FBC" w:rsidRDefault="001B0FBC" w:rsidP="00B52C5C">
      <w:pPr>
        <w:rPr>
          <w:rFonts w:ascii="Traditional Arabic" w:eastAsia="Times New Roman" w:hAnsi="Traditional Arabic" w:cs="Traditional Arabic"/>
          <w:sz w:val="32"/>
          <w:szCs w:val="32"/>
          <w:rtl/>
          <w:lang w:bidi="ar-SY"/>
        </w:rPr>
      </w:pPr>
    </w:p>
    <w:p w:rsidR="00A13463" w:rsidRDefault="00A13463" w:rsidP="00B52C5C">
      <w:pPr>
        <w:rPr>
          <w:rFonts w:ascii="Traditional Arabic" w:eastAsia="Times New Roman" w:hAnsi="Traditional Arabic" w:cs="Traditional Arabic"/>
          <w:rtl/>
        </w:rPr>
      </w:pPr>
    </w:p>
    <w:p w:rsidR="006075C1" w:rsidRDefault="006075C1" w:rsidP="00B52C5C">
      <w:pPr>
        <w:rPr>
          <w:rFonts w:ascii="Traditional Arabic" w:eastAsia="Times New Roman" w:hAnsi="Traditional Arabic" w:cs="Traditional Arabic"/>
          <w:rtl/>
        </w:rPr>
      </w:pPr>
    </w:p>
    <w:p w:rsidR="006075C1" w:rsidRDefault="006075C1" w:rsidP="00B52C5C">
      <w:pPr>
        <w:rPr>
          <w:rFonts w:ascii="Traditional Arabic" w:eastAsia="Times New Roman" w:hAnsi="Traditional Arabic" w:cs="Traditional Arabic"/>
          <w:rtl/>
        </w:rPr>
      </w:pPr>
    </w:p>
    <w:p w:rsidR="006075C1" w:rsidRDefault="006075C1" w:rsidP="00B52C5C">
      <w:pPr>
        <w:rPr>
          <w:rFonts w:ascii="Traditional Arabic" w:eastAsia="Times New Roman" w:hAnsi="Traditional Arabic" w:cs="Traditional Arabic"/>
          <w:rtl/>
        </w:rPr>
      </w:pPr>
    </w:p>
    <w:p w:rsidR="006075C1" w:rsidRDefault="006075C1" w:rsidP="00B52C5C">
      <w:pPr>
        <w:rPr>
          <w:rFonts w:ascii="Traditional Arabic" w:eastAsia="Times New Roman" w:hAnsi="Traditional Arabic" w:cs="Traditional Arabic"/>
          <w:rtl/>
        </w:rPr>
      </w:pPr>
    </w:p>
    <w:p w:rsidR="006075C1" w:rsidRDefault="006075C1" w:rsidP="00B52C5C">
      <w:pPr>
        <w:rPr>
          <w:rFonts w:ascii="Traditional Arabic" w:eastAsia="Times New Roman" w:hAnsi="Traditional Arabic" w:cs="Traditional Arabic"/>
          <w:rtl/>
        </w:rPr>
      </w:pPr>
    </w:p>
    <w:p w:rsidR="006075C1" w:rsidRDefault="006075C1" w:rsidP="00B52C5C">
      <w:pPr>
        <w:rPr>
          <w:rFonts w:ascii="Traditional Arabic" w:eastAsia="Times New Roman" w:hAnsi="Traditional Arabic" w:cs="Traditional Arabic"/>
          <w:rtl/>
        </w:rPr>
      </w:pPr>
    </w:p>
    <w:p w:rsidR="006075C1" w:rsidRDefault="006075C1" w:rsidP="00B52C5C">
      <w:pPr>
        <w:rPr>
          <w:rFonts w:ascii="Traditional Arabic" w:eastAsia="Times New Roman" w:hAnsi="Traditional Arabic" w:cs="Traditional Arabic"/>
          <w:rtl/>
        </w:rPr>
      </w:pPr>
    </w:p>
    <w:p w:rsidR="00B52C5C" w:rsidRDefault="00B52C5C" w:rsidP="00A13463">
      <w:pPr>
        <w:rPr>
          <w:rFonts w:ascii="Traditional Arabic" w:eastAsia="Times New Roman" w:hAnsi="Traditional Arabic" w:cs="Traditional Arabic" w:hint="cs"/>
          <w:rtl/>
        </w:rPr>
      </w:pPr>
    </w:p>
    <w:p w:rsidR="00CA15E1" w:rsidRPr="00966167" w:rsidRDefault="00CA15E1" w:rsidP="00A13463">
      <w:pPr>
        <w:rPr>
          <w:rFonts w:ascii="Traditional Arabic" w:eastAsia="Times New Roman" w:hAnsi="Traditional Arabic" w:cs="Traditional Arabic"/>
          <w:rtl/>
        </w:rPr>
      </w:pPr>
    </w:p>
    <w:p w:rsidR="00B52C5C" w:rsidRDefault="00B52C5C" w:rsidP="00714CA0">
      <w:pPr>
        <w:jc w:val="center"/>
        <w:rPr>
          <w:rFonts w:ascii="Traditional Arabic" w:eastAsia="Times New Roman" w:hAnsi="Traditional Arabic" w:cs="Traditional Arabic"/>
          <w:b/>
          <w:bCs/>
          <w:sz w:val="32"/>
          <w:szCs w:val="32"/>
          <w:rtl/>
          <w:lang w:bidi="ar-SY"/>
        </w:rPr>
      </w:pPr>
      <w:r w:rsidRPr="00714CA0">
        <w:rPr>
          <w:rFonts w:ascii="Traditional Arabic" w:eastAsia="Times New Roman" w:hAnsi="Traditional Arabic" w:cs="Traditional Arabic"/>
          <w:b/>
          <w:bCs/>
          <w:sz w:val="32"/>
          <w:szCs w:val="32"/>
          <w:rtl/>
          <w:lang w:bidi="ar-SY"/>
        </w:rPr>
        <w:lastRenderedPageBreak/>
        <w:t>المراجع</w:t>
      </w:r>
    </w:p>
    <w:p w:rsidR="001B0FBC" w:rsidRPr="001B0FBC" w:rsidRDefault="001B0FBC" w:rsidP="001B0FBC">
      <w:pPr>
        <w:ind w:left="720" w:hanging="360"/>
        <w:rPr>
          <w:rFonts w:ascii="Traditional Arabic" w:eastAsia="Times New Roman" w:hAnsi="Traditional Arabic" w:cs="Traditional Arabic"/>
          <w:b/>
          <w:bCs/>
          <w:u w:val="single"/>
          <w:rtl/>
        </w:rPr>
      </w:pPr>
      <w:r>
        <w:rPr>
          <w:rFonts w:ascii="Traditional Arabic" w:eastAsia="Times New Roman" w:hAnsi="Traditional Arabic" w:cs="Traditional Arabic"/>
          <w:b/>
          <w:bCs/>
          <w:rtl/>
        </w:rPr>
        <w:tab/>
      </w:r>
      <w:r w:rsidRPr="001B0FBC">
        <w:rPr>
          <w:rFonts w:ascii="Traditional Arabic" w:eastAsia="Times New Roman" w:hAnsi="Traditional Arabic" w:cs="Traditional Arabic" w:hint="cs"/>
          <w:sz w:val="32"/>
          <w:szCs w:val="32"/>
          <w:u w:val="single"/>
          <w:rtl/>
          <w:lang w:bidi="ar-SY"/>
        </w:rPr>
        <w:t>المراجع</w:t>
      </w:r>
      <w:r w:rsidRPr="001B0FBC">
        <w:rPr>
          <w:rFonts w:ascii="Traditional Arabic" w:eastAsia="Times New Roman" w:hAnsi="Traditional Arabic" w:cs="Traditional Arabic" w:hint="cs"/>
          <w:b/>
          <w:bCs/>
          <w:sz w:val="32"/>
          <w:szCs w:val="32"/>
          <w:u w:val="single"/>
          <w:rtl/>
        </w:rPr>
        <w:t xml:space="preserve"> </w:t>
      </w:r>
      <w:r w:rsidRPr="001B0FBC">
        <w:rPr>
          <w:rFonts w:ascii="Traditional Arabic" w:eastAsia="Times New Roman" w:hAnsi="Traditional Arabic" w:cs="Traditional Arabic" w:hint="cs"/>
          <w:sz w:val="32"/>
          <w:szCs w:val="32"/>
          <w:u w:val="single"/>
          <w:rtl/>
          <w:lang w:bidi="ar-SY"/>
        </w:rPr>
        <w:t>العربية</w:t>
      </w:r>
    </w:p>
    <w:p w:rsidR="00B52C5C" w:rsidRPr="00966167" w:rsidRDefault="00B52C5C" w:rsidP="00714CA0">
      <w:pPr>
        <w:ind w:left="720" w:hanging="360"/>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1.</w:t>
      </w:r>
      <w:r w:rsidRPr="00966167">
        <w:rPr>
          <w:rFonts w:ascii="Traditional Arabic" w:eastAsia="Times New Roman" w:hAnsi="Traditional Arabic" w:cs="Traditional Arabic"/>
          <w:sz w:val="14"/>
          <w:szCs w:val="14"/>
          <w:rtl/>
        </w:rPr>
        <w:t>  </w:t>
      </w:r>
      <w:r w:rsidRPr="00966167">
        <w:rPr>
          <w:rFonts w:ascii="Traditional Arabic" w:eastAsia="Times New Roman" w:hAnsi="Traditional Arabic" w:cs="Traditional Arabic"/>
          <w:sz w:val="32"/>
          <w:szCs w:val="32"/>
          <w:rtl/>
          <w:lang w:bidi="ar-SY"/>
        </w:rPr>
        <w:t xml:space="preserve"> جاسم</w:t>
      </w:r>
      <w:r w:rsidR="00714CA0">
        <w:rPr>
          <w:rFonts w:ascii="Traditional Arabic" w:eastAsia="Times New Roman" w:hAnsi="Traditional Arabic" w:cs="Traditional Arabic"/>
          <w:sz w:val="32"/>
          <w:szCs w:val="32"/>
          <w:lang w:bidi="ar-SY"/>
        </w:rPr>
        <w:t xml:space="preserve"> </w:t>
      </w:r>
      <w:r w:rsidR="00714CA0">
        <w:rPr>
          <w:rFonts w:ascii="Traditional Arabic" w:eastAsia="Times New Roman" w:hAnsi="Traditional Arabic" w:cs="Traditional Arabic" w:hint="cs"/>
          <w:sz w:val="32"/>
          <w:szCs w:val="32"/>
          <w:rtl/>
          <w:lang w:bidi="ar-SY"/>
        </w:rPr>
        <w:t xml:space="preserve"> المناعي</w:t>
      </w:r>
      <w:r w:rsidRPr="00966167">
        <w:rPr>
          <w:rFonts w:ascii="Traditional Arabic" w:eastAsia="Times New Roman" w:hAnsi="Traditional Arabic" w:cs="Traditional Arabic"/>
          <w:sz w:val="32"/>
          <w:szCs w:val="32"/>
          <w:rtl/>
          <w:lang w:bidi="ar-SY"/>
        </w:rPr>
        <w:t xml:space="preserve"> ,</w:t>
      </w:r>
      <w:r w:rsidR="00714CA0">
        <w:rPr>
          <w:rFonts w:ascii="Traditional Arabic" w:eastAsia="Times New Roman" w:hAnsi="Traditional Arabic" w:cs="Traditional Arabic" w:hint="cs"/>
          <w:sz w:val="32"/>
          <w:szCs w:val="32"/>
          <w:rtl/>
          <w:lang w:bidi="ar-SY"/>
        </w:rPr>
        <w:t xml:space="preserve"> </w:t>
      </w:r>
      <w:r w:rsidRPr="001B0FBC">
        <w:rPr>
          <w:rFonts w:ascii="Traditional Arabic" w:eastAsia="Times New Roman" w:hAnsi="Traditional Arabic" w:cs="Traditional Arabic"/>
          <w:sz w:val="32"/>
          <w:szCs w:val="32"/>
          <w:u w:val="single"/>
          <w:rtl/>
          <w:lang w:bidi="ar-SY"/>
        </w:rPr>
        <w:t xml:space="preserve">ظاهرة صناديق الثروات </w:t>
      </w:r>
      <w:r w:rsidR="00485F25" w:rsidRPr="001B0FBC">
        <w:rPr>
          <w:rFonts w:ascii="Traditional Arabic" w:eastAsia="Times New Roman" w:hAnsi="Traditional Arabic" w:cs="Traditional Arabic"/>
          <w:sz w:val="32"/>
          <w:szCs w:val="32"/>
          <w:u w:val="single"/>
          <w:rtl/>
          <w:lang w:bidi="ar-SY"/>
        </w:rPr>
        <w:t>السياديَّة</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أبو ظبي :صندوق النقد العربي</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w:t>
      </w:r>
      <w:r w:rsidRPr="001B0FBC">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lang w:bidi="ar-SY"/>
        </w:rPr>
        <w:t>.</w:t>
      </w:r>
    </w:p>
    <w:p w:rsidR="00B52C5C" w:rsidRPr="00966167" w:rsidRDefault="00B52C5C" w:rsidP="00B52C5C">
      <w:pPr>
        <w:ind w:left="720" w:hanging="360"/>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2.</w:t>
      </w:r>
      <w:r w:rsidRPr="00966167">
        <w:rPr>
          <w:rFonts w:ascii="Traditional Arabic" w:eastAsia="Times New Roman" w:hAnsi="Traditional Arabic" w:cs="Traditional Arabic"/>
          <w:sz w:val="14"/>
          <w:szCs w:val="14"/>
          <w:rtl/>
        </w:rPr>
        <w:t xml:space="preserve">    </w:t>
      </w:r>
      <w:r w:rsidR="00714CA0">
        <w:rPr>
          <w:rFonts w:ascii="Traditional Arabic" w:eastAsia="Times New Roman" w:hAnsi="Traditional Arabic" w:cs="Traditional Arabic"/>
          <w:sz w:val="28"/>
          <w:szCs w:val="28"/>
          <w:rtl/>
        </w:rPr>
        <w:t xml:space="preserve">دومينيك ستراوس </w:t>
      </w:r>
      <w:r w:rsidR="00714CA0">
        <w:rPr>
          <w:rFonts w:ascii="Traditional Arabic" w:eastAsia="Times New Roman" w:hAnsi="Traditional Arabic" w:cs="Traditional Arabic" w:hint="cs"/>
          <w:sz w:val="28"/>
          <w:szCs w:val="28"/>
          <w:rtl/>
        </w:rPr>
        <w:t>،</w:t>
      </w:r>
      <w:r w:rsidRPr="00966167">
        <w:rPr>
          <w:rFonts w:ascii="Traditional Arabic" w:eastAsia="Times New Roman" w:hAnsi="Traditional Arabic" w:cs="Traditional Arabic"/>
          <w:sz w:val="28"/>
          <w:szCs w:val="28"/>
          <w:rtl/>
        </w:rPr>
        <w:t xml:space="preserve"> تصريح مدير عام صندوق النقد الدولي</w:t>
      </w:r>
      <w:r w:rsidR="00714CA0">
        <w:rPr>
          <w:rFonts w:ascii="Traditional Arabic" w:eastAsia="Times New Roman" w:hAnsi="Traditional Arabic" w:cs="Traditional Arabic"/>
          <w:sz w:val="32"/>
          <w:szCs w:val="32"/>
          <w:rtl/>
          <w:lang w:bidi="ar-SY"/>
        </w:rPr>
        <w:t xml:space="preserve"> في كلمة </w:t>
      </w:r>
      <w:r w:rsidR="00714CA0">
        <w:rPr>
          <w:rFonts w:ascii="Traditional Arabic" w:eastAsia="Times New Roman" w:hAnsi="Traditional Arabic" w:cs="Traditional Arabic" w:hint="cs"/>
          <w:sz w:val="32"/>
          <w:szCs w:val="32"/>
          <w:rtl/>
          <w:lang w:bidi="ar-SY"/>
        </w:rPr>
        <w:t>أ</w:t>
      </w:r>
      <w:r w:rsidRPr="00966167">
        <w:rPr>
          <w:rFonts w:ascii="Traditional Arabic" w:eastAsia="Times New Roman" w:hAnsi="Traditional Arabic" w:cs="Traditional Arabic"/>
          <w:sz w:val="32"/>
          <w:szCs w:val="32"/>
          <w:rtl/>
          <w:lang w:bidi="ar-SY"/>
        </w:rPr>
        <w:t>مام مجلس محافظي الصندوق ,</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نشرة الصندوق الالكترونية</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w:t>
      </w:r>
      <w:r w:rsidR="00454972">
        <w:rPr>
          <w:rFonts w:ascii="Traditional Arabic" w:eastAsia="Times New Roman" w:hAnsi="Traditional Arabic" w:cs="Traditional Arabic" w:hint="cs"/>
          <w:sz w:val="32"/>
          <w:szCs w:val="32"/>
          <w:rtl/>
          <w:lang w:bidi="ar-SY"/>
        </w:rPr>
        <w:t xml:space="preserve"> كان.فرنسا ,</w:t>
      </w:r>
      <w:r w:rsidRPr="00966167">
        <w:rPr>
          <w:rFonts w:ascii="Traditional Arabic" w:eastAsia="Times New Roman" w:hAnsi="Traditional Arabic" w:cs="Traditional Arabic"/>
          <w:sz w:val="32"/>
          <w:szCs w:val="32"/>
          <w:rtl/>
          <w:lang w:bidi="ar-SY"/>
        </w:rPr>
        <w:t xml:space="preserve"> تشرين </w:t>
      </w:r>
      <w:r w:rsidR="00714CA0" w:rsidRPr="00966167">
        <w:rPr>
          <w:rFonts w:ascii="Traditional Arabic" w:eastAsia="Times New Roman" w:hAnsi="Traditional Arabic" w:cs="Traditional Arabic" w:hint="cs"/>
          <w:sz w:val="32"/>
          <w:szCs w:val="32"/>
          <w:rtl/>
          <w:lang w:bidi="ar-SY"/>
        </w:rPr>
        <w:t>الأول</w:t>
      </w:r>
      <w:r w:rsidRPr="00966167">
        <w:rPr>
          <w:rFonts w:ascii="Traditional Arabic" w:eastAsia="Times New Roman" w:hAnsi="Traditional Arabic" w:cs="Traditional Arabic"/>
          <w:sz w:val="32"/>
          <w:szCs w:val="32"/>
          <w:rtl/>
          <w:lang w:bidi="ar-SY"/>
        </w:rPr>
        <w:t xml:space="preserve"> </w:t>
      </w:r>
      <w:r w:rsidRPr="001B0FBC">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lang w:bidi="ar-SY"/>
        </w:rPr>
        <w:t>.</w:t>
      </w:r>
    </w:p>
    <w:p w:rsidR="00B52C5C" w:rsidRPr="00966167" w:rsidRDefault="00B52C5C" w:rsidP="00B52C5C">
      <w:pPr>
        <w:ind w:left="720" w:hanging="360"/>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3.</w:t>
      </w:r>
      <w:r w:rsidRPr="00966167">
        <w:rPr>
          <w:rFonts w:ascii="Traditional Arabic" w:eastAsia="Times New Roman" w:hAnsi="Traditional Arabic" w:cs="Traditional Arabic"/>
          <w:sz w:val="14"/>
          <w:szCs w:val="14"/>
          <w:rtl/>
        </w:rPr>
        <w:t xml:space="preserve">    </w:t>
      </w:r>
      <w:r w:rsidR="00714CA0">
        <w:rPr>
          <w:rFonts w:ascii="Traditional Arabic" w:eastAsia="Times New Roman" w:hAnsi="Traditional Arabic" w:cs="Traditional Arabic"/>
          <w:sz w:val="32"/>
          <w:szCs w:val="32"/>
          <w:rtl/>
          <w:lang w:bidi="ar-SY"/>
        </w:rPr>
        <w:t xml:space="preserve">سفين </w:t>
      </w:r>
      <w:r w:rsidR="00714CA0">
        <w:rPr>
          <w:rFonts w:ascii="Traditional Arabic" w:eastAsia="Times New Roman" w:hAnsi="Traditional Arabic" w:cs="Traditional Arabic" w:hint="cs"/>
          <w:sz w:val="32"/>
          <w:szCs w:val="32"/>
          <w:rtl/>
          <w:lang w:bidi="ar-SY"/>
        </w:rPr>
        <w:t>برينت</w:t>
      </w:r>
      <w:r w:rsidR="00714CA0">
        <w:rPr>
          <w:rFonts w:ascii="Traditional Arabic" w:eastAsia="Times New Roman" w:hAnsi="Traditional Arabic" w:cs="Traditional Arabic"/>
          <w:sz w:val="32"/>
          <w:szCs w:val="32"/>
          <w:rtl/>
          <w:lang w:bidi="ar-SY"/>
        </w:rPr>
        <w:t xml:space="preserve"> ,</w:t>
      </w:r>
      <w:r w:rsidR="00714CA0" w:rsidRPr="001B0FBC">
        <w:rPr>
          <w:rFonts w:ascii="Traditional Arabic" w:eastAsia="Times New Roman" w:hAnsi="Traditional Arabic" w:cs="Traditional Arabic"/>
          <w:sz w:val="32"/>
          <w:szCs w:val="32"/>
          <w:u w:val="single"/>
          <w:rtl/>
          <w:lang w:bidi="ar-SY"/>
        </w:rPr>
        <w:t xml:space="preserve">حين يتكلم المال </w:t>
      </w:r>
      <w:r w:rsidR="00714CA0" w:rsidRPr="001B0FBC">
        <w:rPr>
          <w:rFonts w:ascii="Traditional Arabic" w:eastAsia="Times New Roman" w:hAnsi="Traditional Arabic" w:cs="Traditional Arabic" w:hint="cs"/>
          <w:sz w:val="32"/>
          <w:szCs w:val="32"/>
          <w:u w:val="single"/>
          <w:rtl/>
          <w:lang w:bidi="ar-SY"/>
        </w:rPr>
        <w:t>(</w:t>
      </w:r>
      <w:r w:rsidRPr="001B0FBC">
        <w:rPr>
          <w:rFonts w:ascii="Traditional Arabic" w:eastAsia="Times New Roman" w:hAnsi="Traditional Arabic" w:cs="Traditional Arabic"/>
          <w:sz w:val="32"/>
          <w:szCs w:val="32"/>
          <w:u w:val="single"/>
          <w:rtl/>
          <w:lang w:bidi="ar-SY"/>
        </w:rPr>
        <w:t xml:space="preserve">صندوق الثروة </w:t>
      </w:r>
      <w:r w:rsidR="00485F25" w:rsidRPr="001B0FBC">
        <w:rPr>
          <w:rFonts w:ascii="Traditional Arabic" w:eastAsia="Times New Roman" w:hAnsi="Traditional Arabic" w:cs="Traditional Arabic"/>
          <w:sz w:val="32"/>
          <w:szCs w:val="32"/>
          <w:u w:val="single"/>
          <w:rtl/>
          <w:lang w:bidi="ar-SY"/>
        </w:rPr>
        <w:t>السياديَّة</w:t>
      </w:r>
      <w:r w:rsidRPr="001B0FBC">
        <w:rPr>
          <w:rFonts w:ascii="Traditional Arabic" w:eastAsia="Times New Roman" w:hAnsi="Traditional Arabic" w:cs="Traditional Arabic"/>
          <w:sz w:val="32"/>
          <w:szCs w:val="32"/>
          <w:u w:val="single"/>
          <w:rtl/>
          <w:lang w:bidi="ar-SY"/>
        </w:rPr>
        <w:t xml:space="preserve"> العربية في خطاب العولمة</w:t>
      </w:r>
      <w:r w:rsidR="00714CA0" w:rsidRPr="001B0FBC">
        <w:rPr>
          <w:rFonts w:ascii="Traditional Arabic" w:eastAsia="Times New Roman" w:hAnsi="Traditional Arabic" w:cs="Traditional Arabic" w:hint="cs"/>
          <w:sz w:val="32"/>
          <w:szCs w:val="32"/>
          <w:u w:val="single"/>
          <w:rtl/>
          <w:lang w:bidi="ar-SY"/>
        </w:rPr>
        <w:t>)</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 xml:space="preserve">مركز كارينغي للشرق </w:t>
      </w:r>
      <w:r w:rsidR="00714CA0" w:rsidRPr="00966167">
        <w:rPr>
          <w:rFonts w:ascii="Traditional Arabic" w:eastAsia="Times New Roman" w:hAnsi="Traditional Arabic" w:cs="Traditional Arabic" w:hint="cs"/>
          <w:sz w:val="32"/>
          <w:szCs w:val="32"/>
          <w:rtl/>
          <w:lang w:bidi="ar-SY"/>
        </w:rPr>
        <w:t>الأوسط</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بيروت</w:t>
      </w:r>
      <w:r w:rsidR="00714CA0">
        <w:rPr>
          <w:rFonts w:ascii="Traditional Arabic" w:eastAsia="Times New Roman" w:hAnsi="Traditional Arabic" w:cs="Traditional Arabic" w:hint="cs"/>
          <w:sz w:val="32"/>
          <w:szCs w:val="32"/>
          <w:rtl/>
          <w:lang w:bidi="ar-SY"/>
        </w:rPr>
        <w:t xml:space="preserve"> </w:t>
      </w:r>
      <w:r w:rsidRPr="00966167">
        <w:rPr>
          <w:rFonts w:ascii="Traditional Arabic" w:eastAsia="Times New Roman" w:hAnsi="Traditional Arabic" w:cs="Traditional Arabic"/>
          <w:sz w:val="32"/>
          <w:szCs w:val="32"/>
          <w:rtl/>
          <w:lang w:bidi="ar-SY"/>
        </w:rPr>
        <w:t>,</w:t>
      </w:r>
      <w:r w:rsidRPr="001B0FBC">
        <w:rPr>
          <w:rFonts w:ascii="Traditional Arabic" w:eastAsia="Times New Roman" w:hAnsi="Traditional Arabic" w:cs="Traditional Arabic"/>
          <w:sz w:val="24"/>
          <w:szCs w:val="24"/>
          <w:rtl/>
        </w:rPr>
        <w:t>2008</w:t>
      </w:r>
      <w:r w:rsidRPr="00966167">
        <w:rPr>
          <w:rFonts w:ascii="Traditional Arabic" w:eastAsia="Times New Roman" w:hAnsi="Traditional Arabic" w:cs="Traditional Arabic"/>
          <w:sz w:val="32"/>
          <w:szCs w:val="32"/>
          <w:rtl/>
          <w:lang w:bidi="ar-SY"/>
        </w:rPr>
        <w:t>.</w:t>
      </w:r>
    </w:p>
    <w:p w:rsidR="00B52C5C" w:rsidRPr="00966167" w:rsidRDefault="00B52C5C" w:rsidP="00714CA0">
      <w:pPr>
        <w:ind w:left="720" w:hanging="360"/>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4.</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مؤتمر الأمم المتحدة للتجارة والتنمية</w:t>
      </w:r>
      <w:r w:rsidR="00714CA0">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w:t>
      </w:r>
      <w:r w:rsidR="00714CA0">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تقرير الاستثمار العالمي</w:t>
      </w:r>
      <w:r w:rsidR="00714CA0">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 نيويورك وجنيف: الأمم المتحدة</w:t>
      </w:r>
      <w:r w:rsidR="00714CA0">
        <w:rPr>
          <w:rFonts w:ascii="Traditional Arabic" w:eastAsia="Times New Roman" w:hAnsi="Traditional Arabic" w:cs="Traditional Arabic" w:hint="cs"/>
          <w:sz w:val="32"/>
          <w:szCs w:val="32"/>
          <w:rtl/>
        </w:rPr>
        <w:t xml:space="preserve"> </w:t>
      </w:r>
      <w:r w:rsidRPr="00966167">
        <w:rPr>
          <w:rFonts w:ascii="Traditional Arabic" w:eastAsia="Times New Roman" w:hAnsi="Traditional Arabic" w:cs="Traditional Arabic"/>
          <w:sz w:val="32"/>
          <w:szCs w:val="32"/>
          <w:rtl/>
        </w:rPr>
        <w:t xml:space="preserve">، </w:t>
      </w:r>
      <w:r w:rsidRPr="001B0FBC">
        <w:rPr>
          <w:rFonts w:ascii="Traditional Arabic" w:eastAsia="Times New Roman" w:hAnsi="Traditional Arabic" w:cs="Traditional Arabic"/>
          <w:sz w:val="24"/>
          <w:szCs w:val="24"/>
          <w:rtl/>
        </w:rPr>
        <w:t>2008</w:t>
      </w:r>
      <w:r w:rsidR="00714CA0">
        <w:rPr>
          <w:rFonts w:ascii="Traditional Arabic" w:eastAsia="Times New Roman" w:hAnsi="Traditional Arabic" w:cs="Traditional Arabic" w:hint="cs"/>
          <w:sz w:val="32"/>
          <w:szCs w:val="32"/>
          <w:rtl/>
        </w:rPr>
        <w:t>.</w:t>
      </w:r>
    </w:p>
    <w:p w:rsidR="00B52C5C" w:rsidRPr="00966167" w:rsidRDefault="00B52C5C" w:rsidP="00B52C5C">
      <w:pPr>
        <w:ind w:left="720" w:hanging="360"/>
        <w:rPr>
          <w:rFonts w:ascii="Traditional Arabic" w:eastAsia="Times New Roman" w:hAnsi="Traditional Arabic" w:cs="Traditional Arabic"/>
          <w:rtl/>
        </w:rPr>
      </w:pPr>
      <w:r w:rsidRPr="00966167">
        <w:rPr>
          <w:rFonts w:ascii="Traditional Arabic" w:eastAsia="Times New Roman" w:hAnsi="Traditional Arabic" w:cs="Traditional Arabic"/>
          <w:sz w:val="32"/>
          <w:szCs w:val="32"/>
          <w:rtl/>
        </w:rPr>
        <w:t>5.</w:t>
      </w:r>
      <w:r w:rsidRPr="00966167">
        <w:rPr>
          <w:rFonts w:ascii="Traditional Arabic" w:eastAsia="Times New Roman" w:hAnsi="Traditional Arabic" w:cs="Traditional Arabic"/>
          <w:sz w:val="14"/>
          <w:szCs w:val="14"/>
          <w:rtl/>
        </w:rPr>
        <w:t xml:space="preserve">    </w:t>
      </w:r>
      <w:r w:rsidRPr="00966167">
        <w:rPr>
          <w:rFonts w:ascii="Traditional Arabic" w:eastAsia="Times New Roman" w:hAnsi="Traditional Arabic" w:cs="Traditional Arabic"/>
          <w:sz w:val="32"/>
          <w:szCs w:val="32"/>
          <w:rtl/>
        </w:rPr>
        <w:t>نشرات متعدد لصندوق النقد الدولي</w:t>
      </w:r>
    </w:p>
    <w:p w:rsidR="00B52C5C" w:rsidRPr="00966167" w:rsidRDefault="00B52C5C" w:rsidP="00B52C5C">
      <w:pPr>
        <w:bidi w:val="0"/>
        <w:spacing w:after="0" w:line="240" w:lineRule="auto"/>
        <w:jc w:val="right"/>
        <w:rPr>
          <w:rFonts w:ascii="Traditional Arabic" w:eastAsia="Times New Roman" w:hAnsi="Traditional Arabic" w:cs="Traditional Arabic"/>
          <w:rtl/>
        </w:rPr>
      </w:pPr>
      <w:r w:rsidRPr="00966167">
        <w:rPr>
          <w:rFonts w:ascii="Traditional Arabic" w:eastAsia="Times New Roman" w:hAnsi="Traditional Arabic" w:cs="Traditional Arabic"/>
          <w:sz w:val="24"/>
          <w:szCs w:val="24"/>
        </w:rPr>
        <w:t>.</w:t>
      </w:r>
    </w:p>
    <w:p w:rsidR="00B52C5C" w:rsidRPr="00966167" w:rsidRDefault="001B0FBC" w:rsidP="001B0FBC">
      <w:pPr>
        <w:ind w:left="720" w:hanging="360"/>
        <w:rPr>
          <w:rFonts w:ascii="Traditional Arabic" w:eastAsia="Times New Roman" w:hAnsi="Traditional Arabic" w:cs="Traditional Arabic"/>
        </w:rPr>
      </w:pPr>
      <w:r>
        <w:rPr>
          <w:rFonts w:ascii="Traditional Arabic" w:eastAsia="Times New Roman" w:hAnsi="Traditional Arabic" w:cs="Traditional Arabic" w:hint="cs"/>
          <w:sz w:val="32"/>
          <w:szCs w:val="32"/>
          <w:rtl/>
          <w:lang w:bidi="ar-SY"/>
        </w:rPr>
        <w:t xml:space="preserve">    </w:t>
      </w:r>
      <w:r w:rsidR="00B52C5C" w:rsidRPr="00966167">
        <w:rPr>
          <w:rFonts w:ascii="Traditional Arabic" w:eastAsia="Times New Roman" w:hAnsi="Traditional Arabic" w:cs="Traditional Arabic"/>
          <w:sz w:val="32"/>
          <w:szCs w:val="32"/>
          <w:rtl/>
          <w:lang w:bidi="ar-SY"/>
        </w:rPr>
        <w:t> </w:t>
      </w:r>
      <w:r w:rsidRPr="001B0FBC">
        <w:rPr>
          <w:rFonts w:ascii="Traditional Arabic" w:eastAsia="Times New Roman" w:hAnsi="Traditional Arabic" w:cs="Traditional Arabic" w:hint="cs"/>
          <w:sz w:val="32"/>
          <w:szCs w:val="32"/>
          <w:u w:val="single"/>
          <w:rtl/>
          <w:lang w:bidi="ar-SY"/>
        </w:rPr>
        <w:t>المراجع الفرنسية</w:t>
      </w:r>
    </w:p>
    <w:p w:rsidR="00B52C5C" w:rsidRPr="001B0FBC" w:rsidRDefault="00714CA0" w:rsidP="001B0FBC">
      <w:pPr>
        <w:pStyle w:val="a3"/>
        <w:numPr>
          <w:ilvl w:val="0"/>
          <w:numId w:val="5"/>
        </w:numPr>
        <w:bidi w:val="0"/>
        <w:rPr>
          <w:sz w:val="28"/>
          <w:szCs w:val="28"/>
          <w:rtl/>
        </w:rPr>
      </w:pPr>
      <w:r w:rsidRPr="00823F46">
        <w:rPr>
          <w:rFonts w:hint="cs"/>
          <w:rtl/>
        </w:rPr>
        <w:t xml:space="preserve">  </w:t>
      </w:r>
      <w:r w:rsidR="00B52C5C" w:rsidRPr="001B0FBC">
        <w:rPr>
          <w:sz w:val="28"/>
          <w:szCs w:val="28"/>
        </w:rPr>
        <w:t>ARTHUIS Jean</w:t>
      </w:r>
      <w:r w:rsidR="00B52C5C" w:rsidRPr="001B0FBC">
        <w:rPr>
          <w:sz w:val="28"/>
          <w:szCs w:val="28"/>
          <w:u w:val="single"/>
        </w:rPr>
        <w:t>, Rapport</w:t>
      </w:r>
      <w:r w:rsidR="00E543C8" w:rsidRPr="001B0FBC">
        <w:rPr>
          <w:rFonts w:hint="cs"/>
          <w:sz w:val="28"/>
          <w:szCs w:val="28"/>
          <w:u w:val="single"/>
          <w:rtl/>
        </w:rPr>
        <w:t xml:space="preserve"> </w:t>
      </w:r>
      <w:r w:rsidR="00B52C5C" w:rsidRPr="001B0FBC">
        <w:rPr>
          <w:sz w:val="28"/>
          <w:szCs w:val="28"/>
          <w:u w:val="single"/>
        </w:rPr>
        <w:t xml:space="preserve"> </w:t>
      </w:r>
      <w:proofErr w:type="spellStart"/>
      <w:r w:rsidR="00B52C5C" w:rsidRPr="001B0FBC">
        <w:rPr>
          <w:sz w:val="28"/>
          <w:szCs w:val="28"/>
          <w:u w:val="single"/>
        </w:rPr>
        <w:t>d’information</w:t>
      </w:r>
      <w:proofErr w:type="spellEnd"/>
      <w:r w:rsidR="00E543C8" w:rsidRPr="001B0FBC">
        <w:rPr>
          <w:rFonts w:hint="cs"/>
          <w:sz w:val="28"/>
          <w:szCs w:val="28"/>
          <w:u w:val="single"/>
          <w:rtl/>
        </w:rPr>
        <w:t xml:space="preserve"> </w:t>
      </w:r>
      <w:r w:rsidR="00B52C5C" w:rsidRPr="001B0FBC">
        <w:rPr>
          <w:sz w:val="28"/>
          <w:szCs w:val="28"/>
          <w:u w:val="single"/>
        </w:rPr>
        <w:t xml:space="preserve"> </w:t>
      </w:r>
      <w:proofErr w:type="spellStart"/>
      <w:r w:rsidR="00B52C5C" w:rsidRPr="001B0FBC">
        <w:rPr>
          <w:sz w:val="28"/>
          <w:szCs w:val="28"/>
          <w:u w:val="single"/>
        </w:rPr>
        <w:t>sur</w:t>
      </w:r>
      <w:proofErr w:type="spellEnd"/>
      <w:r w:rsidR="00B52C5C" w:rsidRPr="001B0FBC">
        <w:rPr>
          <w:sz w:val="28"/>
          <w:szCs w:val="28"/>
          <w:u w:val="single"/>
        </w:rPr>
        <w:t xml:space="preserve"> le </w:t>
      </w:r>
      <w:proofErr w:type="spellStart"/>
      <w:r w:rsidR="00B52C5C" w:rsidRPr="001B0FBC">
        <w:rPr>
          <w:sz w:val="28"/>
          <w:szCs w:val="28"/>
          <w:u w:val="single"/>
        </w:rPr>
        <w:t>rôle</w:t>
      </w:r>
      <w:proofErr w:type="spellEnd"/>
      <w:r w:rsidR="00B52C5C" w:rsidRPr="001B0FBC">
        <w:rPr>
          <w:sz w:val="28"/>
          <w:szCs w:val="28"/>
          <w:u w:val="single"/>
        </w:rPr>
        <w:t xml:space="preserve"> des </w:t>
      </w:r>
      <w:proofErr w:type="spellStart"/>
      <w:r w:rsidR="00B52C5C" w:rsidRPr="001B0FBC">
        <w:rPr>
          <w:sz w:val="28"/>
          <w:szCs w:val="28"/>
          <w:u w:val="single"/>
        </w:rPr>
        <w:t>fonds</w:t>
      </w:r>
      <w:proofErr w:type="spellEnd"/>
      <w:r w:rsidR="00B52C5C" w:rsidRPr="001B0FBC">
        <w:rPr>
          <w:sz w:val="28"/>
          <w:szCs w:val="28"/>
          <w:u w:val="single"/>
        </w:rPr>
        <w:t xml:space="preserve"> </w:t>
      </w:r>
      <w:r w:rsidR="001B0FBC" w:rsidRPr="001B0FBC">
        <w:rPr>
          <w:rFonts w:hint="cs"/>
          <w:sz w:val="28"/>
          <w:szCs w:val="28"/>
          <w:u w:val="single"/>
          <w:rtl/>
        </w:rPr>
        <w:t xml:space="preserve"> </w:t>
      </w:r>
      <w:proofErr w:type="spellStart"/>
      <w:r w:rsidR="00B52C5C" w:rsidRPr="001B0FBC">
        <w:rPr>
          <w:sz w:val="28"/>
          <w:szCs w:val="28"/>
          <w:u w:val="single"/>
        </w:rPr>
        <w:t>souverains</w:t>
      </w:r>
      <w:proofErr w:type="spellEnd"/>
      <w:r w:rsidR="00B52C5C" w:rsidRPr="001B0FBC">
        <w:rPr>
          <w:sz w:val="28"/>
          <w:szCs w:val="28"/>
        </w:rPr>
        <w:t xml:space="preserve">, SENAT </w:t>
      </w:r>
      <w:proofErr w:type="spellStart"/>
      <w:r w:rsidR="00B52C5C" w:rsidRPr="001B0FBC">
        <w:rPr>
          <w:sz w:val="28"/>
          <w:szCs w:val="28"/>
        </w:rPr>
        <w:t>sessionordinaire</w:t>
      </w:r>
      <w:proofErr w:type="spellEnd"/>
      <w:r w:rsidR="00B52C5C" w:rsidRPr="001B0FBC">
        <w:rPr>
          <w:sz w:val="28"/>
          <w:szCs w:val="28"/>
        </w:rPr>
        <w:t xml:space="preserve"> de 2006-2007</w:t>
      </w:r>
    </w:p>
    <w:p w:rsidR="00B52C5C" w:rsidRPr="001B0FBC" w:rsidRDefault="00B52C5C" w:rsidP="00823F46">
      <w:pPr>
        <w:pStyle w:val="a3"/>
        <w:numPr>
          <w:ilvl w:val="0"/>
          <w:numId w:val="5"/>
        </w:numPr>
        <w:bidi w:val="0"/>
        <w:rPr>
          <w:sz w:val="28"/>
          <w:szCs w:val="28"/>
          <w:rtl/>
        </w:rPr>
      </w:pPr>
      <w:r w:rsidRPr="001B0FBC">
        <w:rPr>
          <w:sz w:val="28"/>
          <w:szCs w:val="28"/>
        </w:rPr>
        <w:t xml:space="preserve">Rene´ M. </w:t>
      </w:r>
      <w:proofErr w:type="spellStart"/>
      <w:r w:rsidRPr="001B0FBC">
        <w:rPr>
          <w:sz w:val="28"/>
          <w:szCs w:val="28"/>
        </w:rPr>
        <w:t>Stulz</w:t>
      </w:r>
      <w:proofErr w:type="spellEnd"/>
      <w:r w:rsidRPr="001B0FBC">
        <w:rPr>
          <w:sz w:val="28"/>
          <w:szCs w:val="28"/>
        </w:rPr>
        <w:t xml:space="preserve"> ,</w:t>
      </w:r>
      <w:r w:rsidRPr="001B0FBC">
        <w:rPr>
          <w:sz w:val="28"/>
          <w:szCs w:val="28"/>
          <w:u w:val="single"/>
        </w:rPr>
        <w:t>Hedge Funds: Past, Present, and Future</w:t>
      </w:r>
      <w:r w:rsidRPr="001B0FBC">
        <w:rPr>
          <w:sz w:val="28"/>
          <w:szCs w:val="28"/>
        </w:rPr>
        <w:t>,2007</w:t>
      </w:r>
    </w:p>
    <w:p w:rsidR="00B52C5C" w:rsidRDefault="00B52C5C" w:rsidP="001B0FBC">
      <w:pPr>
        <w:pStyle w:val="a3"/>
        <w:numPr>
          <w:ilvl w:val="0"/>
          <w:numId w:val="5"/>
        </w:numPr>
        <w:bidi w:val="0"/>
      </w:pPr>
      <w:proofErr w:type="spellStart"/>
      <w:r w:rsidRPr="001B0FBC">
        <w:rPr>
          <w:sz w:val="28"/>
          <w:szCs w:val="28"/>
        </w:rPr>
        <w:t>Assemblée</w:t>
      </w:r>
      <w:proofErr w:type="spellEnd"/>
      <w:r w:rsidR="00B45CDD" w:rsidRPr="001B0FBC">
        <w:rPr>
          <w:sz w:val="28"/>
          <w:szCs w:val="28"/>
        </w:rPr>
        <w:t xml:space="preserve"> </w:t>
      </w:r>
      <w:r w:rsidRPr="001B0FBC">
        <w:rPr>
          <w:sz w:val="28"/>
          <w:szCs w:val="28"/>
        </w:rPr>
        <w:t xml:space="preserve"> </w:t>
      </w:r>
      <w:proofErr w:type="spellStart"/>
      <w:r w:rsidRPr="001B0FBC">
        <w:rPr>
          <w:sz w:val="28"/>
          <w:szCs w:val="28"/>
        </w:rPr>
        <w:t>Nationale</w:t>
      </w:r>
      <w:proofErr w:type="spellEnd"/>
      <w:r w:rsidR="00B45CDD" w:rsidRPr="001B0FBC">
        <w:rPr>
          <w:sz w:val="28"/>
          <w:szCs w:val="28"/>
        </w:rPr>
        <w:t xml:space="preserve"> </w:t>
      </w:r>
      <w:r w:rsidRPr="001B0FBC">
        <w:rPr>
          <w:sz w:val="28"/>
          <w:szCs w:val="28"/>
        </w:rPr>
        <w:t xml:space="preserve">, </w:t>
      </w:r>
      <w:proofErr w:type="spellStart"/>
      <w:r w:rsidRPr="001B0FBC">
        <w:rPr>
          <w:sz w:val="28"/>
          <w:szCs w:val="28"/>
          <w:u w:val="single"/>
        </w:rPr>
        <w:t>Résolution</w:t>
      </w:r>
      <w:proofErr w:type="spellEnd"/>
      <w:r w:rsidRPr="001B0FBC">
        <w:rPr>
          <w:sz w:val="28"/>
          <w:szCs w:val="28"/>
          <w:u w:val="single"/>
        </w:rPr>
        <w:t xml:space="preserve"> </w:t>
      </w:r>
      <w:proofErr w:type="spellStart"/>
      <w:r w:rsidRPr="001B0FBC">
        <w:rPr>
          <w:sz w:val="28"/>
          <w:szCs w:val="28"/>
          <w:u w:val="single"/>
        </w:rPr>
        <w:t>sur</w:t>
      </w:r>
      <w:proofErr w:type="spellEnd"/>
      <w:r w:rsidRPr="001B0FBC">
        <w:rPr>
          <w:sz w:val="28"/>
          <w:szCs w:val="28"/>
          <w:u w:val="single"/>
        </w:rPr>
        <w:t xml:space="preserve"> </w:t>
      </w:r>
      <w:proofErr w:type="spellStart"/>
      <w:r w:rsidRPr="001B0FBC">
        <w:rPr>
          <w:sz w:val="28"/>
          <w:szCs w:val="28"/>
          <w:u w:val="single"/>
        </w:rPr>
        <w:t>l’Union</w:t>
      </w:r>
      <w:proofErr w:type="spellEnd"/>
      <w:r w:rsidRPr="001B0FBC">
        <w:rPr>
          <w:sz w:val="28"/>
          <w:szCs w:val="28"/>
          <w:u w:val="single"/>
        </w:rPr>
        <w:t xml:space="preserve"> </w:t>
      </w:r>
      <w:proofErr w:type="spellStart"/>
      <w:r w:rsidRPr="001B0FBC">
        <w:rPr>
          <w:sz w:val="28"/>
          <w:szCs w:val="28"/>
          <w:u w:val="single"/>
        </w:rPr>
        <w:t>européenne</w:t>
      </w:r>
      <w:proofErr w:type="spellEnd"/>
      <w:r w:rsidRPr="001B0FBC">
        <w:rPr>
          <w:sz w:val="28"/>
          <w:szCs w:val="28"/>
          <w:u w:val="single"/>
        </w:rPr>
        <w:t xml:space="preserve"> et</w:t>
      </w:r>
      <w:r w:rsidR="00E543C8" w:rsidRPr="001B0FBC">
        <w:rPr>
          <w:rFonts w:hint="cs"/>
          <w:sz w:val="28"/>
          <w:szCs w:val="28"/>
          <w:u w:val="single"/>
          <w:rtl/>
        </w:rPr>
        <w:t xml:space="preserve"> </w:t>
      </w:r>
      <w:r w:rsidRPr="001B0FBC">
        <w:rPr>
          <w:sz w:val="28"/>
          <w:szCs w:val="28"/>
          <w:u w:val="single"/>
        </w:rPr>
        <w:t xml:space="preserve"> les </w:t>
      </w:r>
      <w:proofErr w:type="spellStart"/>
      <w:r w:rsidRPr="001B0FBC">
        <w:rPr>
          <w:sz w:val="28"/>
          <w:szCs w:val="28"/>
          <w:u w:val="single"/>
        </w:rPr>
        <w:t>fonds</w:t>
      </w:r>
      <w:proofErr w:type="spellEnd"/>
      <w:r w:rsidRPr="001B0FBC">
        <w:rPr>
          <w:sz w:val="28"/>
          <w:szCs w:val="28"/>
          <w:u w:val="single"/>
        </w:rPr>
        <w:t xml:space="preserve"> </w:t>
      </w:r>
      <w:proofErr w:type="spellStart"/>
      <w:r w:rsidRPr="001B0FBC">
        <w:rPr>
          <w:sz w:val="28"/>
          <w:szCs w:val="28"/>
          <w:u w:val="single"/>
        </w:rPr>
        <w:t>souverains</w:t>
      </w:r>
      <w:proofErr w:type="spellEnd"/>
      <w:r w:rsidRPr="001B0FBC">
        <w:rPr>
          <w:sz w:val="28"/>
          <w:szCs w:val="28"/>
        </w:rPr>
        <w:t xml:space="preserve">., </w:t>
      </w:r>
      <w:proofErr w:type="spellStart"/>
      <w:r w:rsidRPr="001B0FBC">
        <w:rPr>
          <w:sz w:val="28"/>
          <w:szCs w:val="28"/>
        </w:rPr>
        <w:t>texteadopté</w:t>
      </w:r>
      <w:proofErr w:type="spellEnd"/>
      <w:r w:rsidRPr="001B0FBC">
        <w:rPr>
          <w:sz w:val="28"/>
          <w:szCs w:val="28"/>
        </w:rPr>
        <w:t xml:space="preserve"> n° 185,</w:t>
      </w:r>
      <w:r w:rsidR="00E543C8" w:rsidRPr="001B0FBC">
        <w:rPr>
          <w:rFonts w:hint="cs"/>
          <w:sz w:val="28"/>
          <w:szCs w:val="28"/>
          <w:rtl/>
        </w:rPr>
        <w:t xml:space="preserve"> </w:t>
      </w:r>
      <w:r w:rsidRPr="001B0FBC">
        <w:rPr>
          <w:sz w:val="28"/>
          <w:szCs w:val="28"/>
        </w:rPr>
        <w:t xml:space="preserve">« Petite </w:t>
      </w:r>
      <w:proofErr w:type="spellStart"/>
      <w:r w:rsidRPr="001B0FBC">
        <w:rPr>
          <w:sz w:val="28"/>
          <w:szCs w:val="28"/>
        </w:rPr>
        <w:t>loi</w:t>
      </w:r>
      <w:proofErr w:type="spellEnd"/>
      <w:r w:rsidRPr="001B0FBC">
        <w:rPr>
          <w:sz w:val="28"/>
          <w:szCs w:val="28"/>
        </w:rPr>
        <w:t xml:space="preserve"> »</w:t>
      </w:r>
      <w:r w:rsidR="00E543C8" w:rsidRPr="001B0FBC">
        <w:rPr>
          <w:rFonts w:hint="cs"/>
          <w:sz w:val="28"/>
          <w:szCs w:val="28"/>
          <w:rtl/>
        </w:rPr>
        <w:t xml:space="preserve"> </w:t>
      </w:r>
      <w:r w:rsidRPr="001B0FBC">
        <w:rPr>
          <w:sz w:val="28"/>
          <w:szCs w:val="28"/>
        </w:rPr>
        <w:t xml:space="preserve">230 </w:t>
      </w:r>
      <w:r w:rsidR="00E543C8" w:rsidRPr="001B0FBC">
        <w:rPr>
          <w:rFonts w:hint="cs"/>
          <w:sz w:val="28"/>
          <w:szCs w:val="28"/>
          <w:rtl/>
        </w:rPr>
        <w:t xml:space="preserve"> </w:t>
      </w:r>
      <w:proofErr w:type="spellStart"/>
      <w:r w:rsidRPr="001B0FBC">
        <w:rPr>
          <w:sz w:val="28"/>
          <w:szCs w:val="28"/>
        </w:rPr>
        <w:t>juillet</w:t>
      </w:r>
      <w:proofErr w:type="spellEnd"/>
      <w:r w:rsidR="001B0FBC" w:rsidRPr="001B0FBC">
        <w:rPr>
          <w:sz w:val="28"/>
          <w:szCs w:val="28"/>
        </w:rPr>
        <w:t xml:space="preserve"> </w:t>
      </w:r>
      <w:r w:rsidRPr="001B0FBC">
        <w:rPr>
          <w:sz w:val="28"/>
          <w:szCs w:val="28"/>
        </w:rPr>
        <w:t xml:space="preserve"> 2008</w:t>
      </w:r>
      <w:r w:rsidRPr="00823F46">
        <w:t xml:space="preserve">. </w:t>
      </w:r>
    </w:p>
    <w:p w:rsidR="001B0FBC" w:rsidRPr="001B0FBC" w:rsidRDefault="001B0FBC" w:rsidP="001B0FBC">
      <w:pPr>
        <w:rPr>
          <w:rFonts w:ascii="Traditional Arabic" w:eastAsia="Times New Roman" w:hAnsi="Traditional Arabic" w:cs="Traditional Arabic"/>
          <w:sz w:val="32"/>
          <w:szCs w:val="32"/>
          <w:u w:val="single"/>
          <w:rtl/>
          <w:lang w:bidi="ar-SY"/>
        </w:rPr>
      </w:pPr>
      <w:r w:rsidRPr="001B0FBC">
        <w:rPr>
          <w:rFonts w:ascii="Traditional Arabic" w:eastAsia="Times New Roman" w:hAnsi="Traditional Arabic" w:cs="Traditional Arabic" w:hint="cs"/>
          <w:sz w:val="32"/>
          <w:szCs w:val="32"/>
          <w:rtl/>
          <w:lang w:bidi="ar-SY"/>
        </w:rPr>
        <w:t xml:space="preserve"> </w:t>
      </w:r>
      <w:r>
        <w:rPr>
          <w:rFonts w:ascii="Traditional Arabic" w:eastAsia="Times New Roman" w:hAnsi="Traditional Arabic" w:cs="Traditional Arabic" w:hint="cs"/>
          <w:sz w:val="32"/>
          <w:szCs w:val="32"/>
          <w:rtl/>
          <w:lang w:bidi="ar-SY"/>
        </w:rPr>
        <w:t xml:space="preserve">      </w:t>
      </w:r>
      <w:r w:rsidRPr="001B0FBC">
        <w:rPr>
          <w:rFonts w:ascii="Traditional Arabic" w:eastAsia="Times New Roman" w:hAnsi="Traditional Arabic" w:cs="Traditional Arabic" w:hint="cs"/>
          <w:sz w:val="32"/>
          <w:szCs w:val="32"/>
          <w:rtl/>
          <w:lang w:bidi="ar-SY"/>
        </w:rPr>
        <w:t xml:space="preserve">   </w:t>
      </w:r>
      <w:r>
        <w:rPr>
          <w:rFonts w:ascii="Traditional Arabic" w:eastAsia="Times New Roman" w:hAnsi="Traditional Arabic" w:cs="Traditional Arabic" w:hint="cs"/>
          <w:sz w:val="32"/>
          <w:szCs w:val="32"/>
          <w:u w:val="single"/>
          <w:rtl/>
          <w:lang w:bidi="ar-SY"/>
        </w:rPr>
        <w:t xml:space="preserve"> </w:t>
      </w:r>
      <w:r w:rsidRPr="001B0FBC">
        <w:rPr>
          <w:rFonts w:ascii="Traditional Arabic" w:eastAsia="Times New Roman" w:hAnsi="Traditional Arabic" w:cs="Traditional Arabic" w:hint="cs"/>
          <w:sz w:val="32"/>
          <w:szCs w:val="32"/>
          <w:u w:val="single"/>
          <w:rtl/>
          <w:lang w:bidi="ar-SY"/>
        </w:rPr>
        <w:t>المراجع الإنكليزية</w:t>
      </w:r>
    </w:p>
    <w:p w:rsidR="0057461C" w:rsidRPr="001B0FBC" w:rsidRDefault="00823F46" w:rsidP="001B0FBC">
      <w:pPr>
        <w:pStyle w:val="a3"/>
        <w:numPr>
          <w:ilvl w:val="0"/>
          <w:numId w:val="5"/>
        </w:numPr>
        <w:bidi w:val="0"/>
        <w:rPr>
          <w:rFonts w:ascii="Traditional Arabic" w:hAnsi="Traditional Arabic" w:cs="Traditional Arabic"/>
          <w:sz w:val="28"/>
          <w:szCs w:val="28"/>
        </w:rPr>
      </w:pPr>
      <w:r w:rsidRPr="001B0FBC">
        <w:rPr>
          <w:sz w:val="28"/>
          <w:szCs w:val="28"/>
        </w:rPr>
        <w:t xml:space="preserve">Bing Liang , </w:t>
      </w:r>
      <w:r w:rsidRPr="001B0FBC">
        <w:rPr>
          <w:sz w:val="28"/>
          <w:szCs w:val="28"/>
          <w:u w:val="single"/>
        </w:rPr>
        <w:t>on the Performance of Hedge funds</w:t>
      </w:r>
      <w:r w:rsidRPr="001B0FBC">
        <w:rPr>
          <w:sz w:val="28"/>
          <w:szCs w:val="28"/>
        </w:rPr>
        <w:t xml:space="preserve"> , Weatherhead School of Management ,</w:t>
      </w:r>
      <w:r w:rsidRPr="001B0FBC">
        <w:rPr>
          <w:rFonts w:ascii="Tahoma" w:hAnsi="Tahoma" w:cs="Tahoma"/>
          <w:b/>
          <w:bCs/>
          <w:sz w:val="28"/>
          <w:szCs w:val="28"/>
        </w:rPr>
        <w:t xml:space="preserve"> </w:t>
      </w:r>
      <w:r w:rsidRPr="001B0FBC">
        <w:rPr>
          <w:rFonts w:asciiTheme="minorHAnsi" w:hAnsiTheme="minorHAnsi" w:cstheme="minorBidi"/>
          <w:sz w:val="24"/>
          <w:szCs w:val="24"/>
        </w:rPr>
        <w:t>Cleveland</w:t>
      </w:r>
      <w:r w:rsidRPr="001B0FBC">
        <w:rPr>
          <w:sz w:val="28"/>
          <w:szCs w:val="28"/>
        </w:rPr>
        <w:t xml:space="preserve"> , 1998</w:t>
      </w:r>
    </w:p>
    <w:p w:rsidR="000C1E5C" w:rsidRPr="001B0FBC" w:rsidRDefault="0057461C" w:rsidP="001B0FBC">
      <w:pPr>
        <w:pStyle w:val="a3"/>
        <w:numPr>
          <w:ilvl w:val="0"/>
          <w:numId w:val="5"/>
        </w:numPr>
        <w:bidi w:val="0"/>
        <w:rPr>
          <w:rFonts w:ascii="Traditional Arabic" w:hAnsi="Traditional Arabic" w:cs="Traditional Arabic"/>
          <w:sz w:val="28"/>
          <w:szCs w:val="28"/>
        </w:rPr>
      </w:pPr>
      <w:r w:rsidRPr="001B0FBC">
        <w:rPr>
          <w:sz w:val="28"/>
          <w:szCs w:val="28"/>
        </w:rPr>
        <w:t xml:space="preserve">Ronald Gilson . Curtis Milhaupt , </w:t>
      </w:r>
      <w:r w:rsidRPr="001B0FBC">
        <w:rPr>
          <w:sz w:val="28"/>
          <w:szCs w:val="28"/>
          <w:u w:val="single"/>
        </w:rPr>
        <w:t xml:space="preserve">Sovereign Wealth funds and Corporate Governance </w:t>
      </w:r>
      <w:r w:rsidR="001B0FBC" w:rsidRPr="001B0FBC">
        <w:rPr>
          <w:sz w:val="28"/>
          <w:szCs w:val="28"/>
        </w:rPr>
        <w:t>, Marc 2008</w:t>
      </w:r>
      <w:r w:rsidR="001B0FBC" w:rsidRPr="001B0FBC">
        <w:rPr>
          <w:rFonts w:cs="Arial" w:hint="cs"/>
          <w:sz w:val="28"/>
          <w:szCs w:val="28"/>
          <w:rtl/>
        </w:rPr>
        <w:t>.</w:t>
      </w:r>
    </w:p>
    <w:p w:rsidR="000C1E5C" w:rsidRPr="001B0FBC" w:rsidRDefault="000C1E5C" w:rsidP="000C1E5C">
      <w:pPr>
        <w:pStyle w:val="a3"/>
        <w:numPr>
          <w:ilvl w:val="0"/>
          <w:numId w:val="5"/>
        </w:numPr>
        <w:bidi w:val="0"/>
        <w:rPr>
          <w:rFonts w:ascii="Traditional Arabic" w:hAnsi="Traditional Arabic" w:cs="Traditional Arabic"/>
          <w:sz w:val="28"/>
          <w:szCs w:val="28"/>
        </w:rPr>
      </w:pPr>
      <w:r w:rsidRPr="001B0FBC">
        <w:rPr>
          <w:rFonts w:asciiTheme="minorHAnsi" w:hAnsiTheme="minorHAnsi" w:cstheme="minorBidi"/>
          <w:sz w:val="24"/>
          <w:szCs w:val="24"/>
        </w:rPr>
        <w:t xml:space="preserve">Edwin M. Truman, </w:t>
      </w:r>
      <w:r w:rsidRPr="001B0FBC">
        <w:rPr>
          <w:rFonts w:asciiTheme="minorHAnsi" w:hAnsiTheme="minorHAnsi" w:cstheme="minorBidi"/>
          <w:sz w:val="24"/>
          <w:szCs w:val="24"/>
          <w:u w:val="single"/>
        </w:rPr>
        <w:t>Sovereign Wealth funds: the need for greater transparency and Accountability</w:t>
      </w:r>
      <w:r w:rsidRPr="001B0FBC">
        <w:rPr>
          <w:rFonts w:asciiTheme="minorHAnsi" w:hAnsiTheme="minorHAnsi" w:cstheme="minorBidi"/>
          <w:sz w:val="24"/>
          <w:szCs w:val="24"/>
        </w:rPr>
        <w:t xml:space="preserve"> ,</w:t>
      </w:r>
      <w:r w:rsidRPr="001B0FBC">
        <w:rPr>
          <w:sz w:val="28"/>
          <w:szCs w:val="28"/>
        </w:rPr>
        <w:t xml:space="preserve"> </w:t>
      </w:r>
      <w:r w:rsidRPr="001B0FBC">
        <w:rPr>
          <w:rFonts w:asciiTheme="minorHAnsi" w:hAnsiTheme="minorHAnsi" w:cstheme="minorBidi"/>
          <w:sz w:val="28"/>
          <w:szCs w:val="28"/>
        </w:rPr>
        <w:t>2007.</w:t>
      </w:r>
    </w:p>
    <w:sectPr w:rsidR="000C1E5C" w:rsidRPr="001B0FBC" w:rsidSect="00951101">
      <w:pgSz w:w="11906" w:h="16838"/>
      <w:pgMar w:top="1276" w:right="184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8A" w:rsidRDefault="00EC4F8A" w:rsidP="003772AD">
      <w:pPr>
        <w:spacing w:after="0" w:line="240" w:lineRule="auto"/>
      </w:pPr>
      <w:r>
        <w:separator/>
      </w:r>
    </w:p>
  </w:endnote>
  <w:endnote w:type="continuationSeparator" w:id="0">
    <w:p w:rsidR="00EC4F8A" w:rsidRDefault="00EC4F8A" w:rsidP="00377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DecoType Naskh Variants">
    <w:panose1 w:val="02010400000000000000"/>
    <w:charset w:val="B2"/>
    <w:family w:val="auto"/>
    <w:pitch w:val="variable"/>
    <w:sig w:usb0="00002001" w:usb1="80000000" w:usb2="00000008" w:usb3="00000000" w:csb0="00000040" w:csb1="00000000"/>
  </w:font>
  <w:font w:name="TEXQJ M+ 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8A" w:rsidRDefault="00EC4F8A" w:rsidP="003772AD">
      <w:pPr>
        <w:spacing w:after="0" w:line="240" w:lineRule="auto"/>
      </w:pPr>
      <w:r>
        <w:separator/>
      </w:r>
    </w:p>
  </w:footnote>
  <w:footnote w:type="continuationSeparator" w:id="0">
    <w:p w:rsidR="00EC4F8A" w:rsidRDefault="00EC4F8A" w:rsidP="003772AD">
      <w:pPr>
        <w:spacing w:after="0" w:line="240" w:lineRule="auto"/>
      </w:pPr>
      <w:r>
        <w:continuationSeparator/>
      </w:r>
    </w:p>
  </w:footnote>
  <w:footnote w:id="1">
    <w:p w:rsidR="0057461C" w:rsidRDefault="0057461C" w:rsidP="0057461C">
      <w:pPr>
        <w:pStyle w:val="a7"/>
        <w:bidi w:val="0"/>
      </w:pPr>
      <w:r w:rsidRPr="0057461C">
        <w:rPr>
          <w:rStyle w:val="a8"/>
          <w:sz w:val="32"/>
          <w:szCs w:val="32"/>
        </w:rPr>
        <w:footnoteRef/>
      </w:r>
      <w:r>
        <w:rPr>
          <w:rtl/>
        </w:rPr>
        <w:t xml:space="preserve"> </w:t>
      </w:r>
      <w:bookmarkStart w:id="4" w:name="OLE_LINK5"/>
      <w:bookmarkStart w:id="5" w:name="OLE_LINK6"/>
      <w:r>
        <w:t xml:space="preserve">Ronald Gilson . Curtis Milhaupt , </w:t>
      </w:r>
      <w:r w:rsidRPr="0057461C">
        <w:rPr>
          <w:u w:val="single"/>
        </w:rPr>
        <w:t>Sovereign Wealth funds and Corporate Governance</w:t>
      </w:r>
      <w:bookmarkEnd w:id="4"/>
      <w:bookmarkEnd w:id="5"/>
      <w:r w:rsidRPr="0057461C">
        <w:t xml:space="preserve"> </w:t>
      </w:r>
      <w:r>
        <w:t xml:space="preserve">,Marc 2008, page 345. </w:t>
      </w:r>
    </w:p>
  </w:footnote>
  <w:footnote w:id="2">
    <w:p w:rsidR="00E957F7" w:rsidRPr="00E957F7" w:rsidRDefault="00E957F7">
      <w:pPr>
        <w:pStyle w:val="a7"/>
        <w:rPr>
          <w:sz w:val="24"/>
          <w:szCs w:val="24"/>
        </w:rPr>
      </w:pPr>
      <w:r w:rsidRPr="00E957F7">
        <w:rPr>
          <w:rStyle w:val="a8"/>
          <w:sz w:val="28"/>
          <w:szCs w:val="28"/>
        </w:rPr>
        <w:footnoteRef/>
      </w:r>
      <w:r w:rsidRPr="00E957F7">
        <w:rPr>
          <w:sz w:val="28"/>
          <w:szCs w:val="28"/>
          <w:rtl/>
        </w:rPr>
        <w:t xml:space="preserve"> </w:t>
      </w:r>
      <w:r>
        <w:rPr>
          <w:rFonts w:hint="cs"/>
          <w:sz w:val="24"/>
          <w:szCs w:val="24"/>
          <w:rtl/>
        </w:rPr>
        <w:t xml:space="preserve">أحد أكبر شركات الخدمات المالية الأمريكية </w:t>
      </w:r>
      <w:r w:rsidR="008B5547">
        <w:rPr>
          <w:rFonts w:hint="cs"/>
          <w:sz w:val="24"/>
          <w:szCs w:val="24"/>
          <w:rtl/>
        </w:rPr>
        <w:t>مقرها نيويورك , نشأت إثر عملية الاندماج الكبرى التي تمت بين عملاق البنوك سيتي كورب ,والتكتل المالي ترافلرز غروب في 7 أبريل 1998 ,أكبر المساهمين في الشركة هو جهاز أبو ظبي للاستثمار (</w:t>
      </w:r>
      <w:proofErr w:type="spellStart"/>
      <w:r w:rsidR="008B5547">
        <w:rPr>
          <w:rFonts w:hint="cs"/>
          <w:sz w:val="24"/>
          <w:szCs w:val="24"/>
          <w:rtl/>
        </w:rPr>
        <w:t>اديا</w:t>
      </w:r>
      <w:proofErr w:type="spellEnd"/>
      <w:r w:rsidR="008B5547">
        <w:rPr>
          <w:rFonts w:hint="cs"/>
          <w:sz w:val="24"/>
          <w:szCs w:val="24"/>
          <w:rtl/>
        </w:rPr>
        <w:t>) وثاني  أكبر المساهمين هو الوليد بن طلال .</w:t>
      </w:r>
    </w:p>
  </w:footnote>
  <w:footnote w:id="3">
    <w:p w:rsidR="00E957F7" w:rsidRPr="00E957F7" w:rsidRDefault="00E957F7">
      <w:pPr>
        <w:pStyle w:val="a7"/>
        <w:rPr>
          <w:sz w:val="22"/>
          <w:szCs w:val="22"/>
        </w:rPr>
      </w:pPr>
      <w:r w:rsidRPr="00E957F7">
        <w:rPr>
          <w:rStyle w:val="a8"/>
          <w:sz w:val="32"/>
          <w:szCs w:val="32"/>
        </w:rPr>
        <w:footnoteRef/>
      </w:r>
      <w:r w:rsidRPr="00E957F7">
        <w:rPr>
          <w:sz w:val="32"/>
          <w:szCs w:val="32"/>
          <w:rtl/>
        </w:rPr>
        <w:t xml:space="preserve"> </w:t>
      </w:r>
      <w:r>
        <w:rPr>
          <w:rFonts w:hint="cs"/>
          <w:sz w:val="22"/>
          <w:szCs w:val="22"/>
          <w:rtl/>
        </w:rPr>
        <w:t>بنك عالمي له فروع في كثير من دول العالم وفي بعض الدول العربية كالإمارات والبحرين وقطر ومصر والأردن ولبنان, أسس في عام 1969 بعد اندماج بنكين: بنك ستاندرد الذي أسس 1863 وبنك تشارترد الذي أسس 1853.</w:t>
      </w:r>
    </w:p>
  </w:footnote>
  <w:footnote w:id="4">
    <w:p w:rsidR="008507D2" w:rsidRPr="000C1E5C" w:rsidRDefault="008507D2" w:rsidP="000C1E5C">
      <w:pPr>
        <w:pStyle w:val="a7"/>
        <w:bidi w:val="0"/>
        <w:rPr>
          <w:rFonts w:ascii="TEXQJ M+ Myriad Pro" w:hAnsi="TEXQJ M+ Myriad Pro" w:cs="TEXQJ M+ Myriad Pro"/>
        </w:rPr>
      </w:pPr>
      <w:r w:rsidRPr="000C1E5C">
        <w:footnoteRef/>
      </w:r>
      <w:r>
        <w:rPr>
          <w:rtl/>
        </w:rPr>
        <w:t xml:space="preserve"> </w:t>
      </w:r>
      <w:r w:rsidRPr="000C1E5C">
        <w:t xml:space="preserve"> </w:t>
      </w:r>
      <w:bookmarkStart w:id="6" w:name="OLE_LINK7"/>
      <w:bookmarkStart w:id="7" w:name="OLE_LINK8"/>
      <w:r w:rsidRPr="000C1E5C">
        <w:t>Edwin M. Truman, Sovereign Wealth funds: the need for greater transp</w:t>
      </w:r>
      <w:r w:rsidR="000C1E5C" w:rsidRPr="000C1E5C">
        <w:t xml:space="preserve">arency and Accountability , 2007 </w:t>
      </w:r>
      <w:bookmarkEnd w:id="6"/>
      <w:bookmarkEnd w:id="7"/>
      <w:r w:rsidR="000C1E5C" w:rsidRPr="000C1E5C">
        <w:t>, page 3.</w:t>
      </w:r>
      <w:r w:rsidR="000C1E5C">
        <w:rPr>
          <w:rFonts w:ascii="TEXQJ M+ Myriad Pro" w:hAnsi="TEXQJ M+ Myriad Pro" w:cs="TEXQJ M+ Myriad Pro"/>
          <w:color w:val="000000"/>
          <w:sz w:val="22"/>
          <w:szCs w:val="22"/>
        </w:rPr>
        <w:t xml:space="preserve">  </w:t>
      </w:r>
    </w:p>
  </w:footnote>
  <w:footnote w:id="5">
    <w:p w:rsidR="00E05B13" w:rsidRPr="00E05B13" w:rsidRDefault="00E05B13" w:rsidP="00E05B13">
      <w:pPr>
        <w:pStyle w:val="a7"/>
        <w:rPr>
          <w:sz w:val="22"/>
          <w:szCs w:val="22"/>
          <w:rtl/>
          <w:lang w:bidi="ar-SY"/>
        </w:rPr>
      </w:pPr>
      <w:r w:rsidRPr="00E05B13">
        <w:rPr>
          <w:rStyle w:val="a8"/>
          <w:sz w:val="24"/>
          <w:szCs w:val="24"/>
        </w:rPr>
        <w:footnoteRef/>
      </w:r>
      <w:r w:rsidRPr="00E05B13">
        <w:rPr>
          <w:sz w:val="24"/>
          <w:szCs w:val="24"/>
          <w:rtl/>
        </w:rPr>
        <w:t xml:space="preserve"> </w:t>
      </w:r>
      <w:proofErr w:type="spellStart"/>
      <w:r w:rsidRPr="00E05B13">
        <w:rPr>
          <w:rStyle w:val="A10"/>
          <w:sz w:val="20"/>
          <w:szCs w:val="20"/>
        </w:rPr>
        <w:t>Temasek</w:t>
      </w:r>
      <w:proofErr w:type="spellEnd"/>
      <w:r w:rsidRPr="00E05B13">
        <w:rPr>
          <w:rStyle w:val="A10"/>
          <w:sz w:val="20"/>
          <w:szCs w:val="20"/>
        </w:rPr>
        <w:t xml:space="preserve"> Holdings</w:t>
      </w:r>
      <w:r>
        <w:rPr>
          <w:rStyle w:val="A80"/>
          <w:rFonts w:hint="cs"/>
          <w:sz w:val="12"/>
          <w:szCs w:val="12"/>
          <w:rtl/>
        </w:rPr>
        <w:t xml:space="preserve"> </w:t>
      </w:r>
      <w:r>
        <w:rPr>
          <w:rStyle w:val="A80"/>
          <w:rFonts w:cs="Times New Roman" w:hint="cs"/>
          <w:sz w:val="22"/>
          <w:szCs w:val="22"/>
          <w:rtl/>
        </w:rPr>
        <w:t xml:space="preserve"> اسم صندوق الثروة السيادي في سنغافورة</w:t>
      </w:r>
      <w:r>
        <w:rPr>
          <w:rStyle w:val="A80"/>
          <w:rFonts w:hint="cs"/>
          <w:sz w:val="22"/>
          <w:szCs w:val="22"/>
          <w:rtl/>
        </w:rPr>
        <w:t xml:space="preserve"> .</w:t>
      </w:r>
    </w:p>
  </w:footnote>
  <w:footnote w:id="6">
    <w:p w:rsidR="00823F46" w:rsidRDefault="00823F46" w:rsidP="00823F46">
      <w:pPr>
        <w:pStyle w:val="a7"/>
        <w:bidi w:val="0"/>
        <w:rPr>
          <w:lang w:bidi="ar-SY"/>
        </w:rPr>
      </w:pPr>
      <w:r w:rsidRPr="00823F46">
        <w:rPr>
          <w:rStyle w:val="a8"/>
          <w:sz w:val="28"/>
          <w:szCs w:val="28"/>
        </w:rPr>
        <w:footnoteRef/>
      </w:r>
      <w:r>
        <w:rPr>
          <w:rtl/>
        </w:rPr>
        <w:t xml:space="preserve"> </w:t>
      </w:r>
      <w:r>
        <w:t xml:space="preserve"> Bing Liang , </w:t>
      </w:r>
      <w:r w:rsidRPr="00823F46">
        <w:rPr>
          <w:u w:val="single"/>
        </w:rPr>
        <w:t>on the Performance of Hedge funds</w:t>
      </w:r>
      <w:r w:rsidRPr="00823F46">
        <w:t xml:space="preserve"> </w:t>
      </w:r>
      <w:r>
        <w:t>, Weatherhead School of Management ,</w:t>
      </w:r>
      <w:r w:rsidRPr="00823F46">
        <w:rPr>
          <w:rFonts w:ascii="Tahoma" w:hAnsi="Tahoma" w:cs="Tahoma"/>
          <w:b/>
          <w:bCs/>
        </w:rPr>
        <w:t xml:space="preserve"> </w:t>
      </w:r>
      <w:r w:rsidRPr="00823F46">
        <w:t>Cleveland</w:t>
      </w:r>
      <w:r>
        <w:t xml:space="preserve"> , 1998 , page 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E4D"/>
    <w:multiLevelType w:val="hybridMultilevel"/>
    <w:tmpl w:val="25F8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E357D"/>
    <w:multiLevelType w:val="hybridMultilevel"/>
    <w:tmpl w:val="86B2D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84FC2"/>
    <w:multiLevelType w:val="hybridMultilevel"/>
    <w:tmpl w:val="4CEA3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A7717"/>
    <w:multiLevelType w:val="hybridMultilevel"/>
    <w:tmpl w:val="B4B6250E"/>
    <w:lvl w:ilvl="0" w:tplc="8B56F836">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404A9"/>
    <w:multiLevelType w:val="hybridMultilevel"/>
    <w:tmpl w:val="F078B59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602E14DB"/>
    <w:multiLevelType w:val="hybridMultilevel"/>
    <w:tmpl w:val="5C2A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96E9A"/>
    <w:multiLevelType w:val="hybridMultilevel"/>
    <w:tmpl w:val="9B7C7394"/>
    <w:lvl w:ilvl="0" w:tplc="04090009">
      <w:start w:val="1"/>
      <w:numFmt w:val="bullet"/>
      <w:lvlText w:val=""/>
      <w:lvlJc w:val="left"/>
      <w:pPr>
        <w:ind w:left="919" w:hanging="360"/>
      </w:pPr>
      <w:rPr>
        <w:rFonts w:ascii="Wingdings" w:hAnsi="Wingdings"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7">
    <w:nsid w:val="744A041F"/>
    <w:multiLevelType w:val="hybridMultilevel"/>
    <w:tmpl w:val="7ECA6D4E"/>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8">
    <w:nsid w:val="7F1E77D4"/>
    <w:multiLevelType w:val="hybridMultilevel"/>
    <w:tmpl w:val="A1D8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3"/>
  </w:num>
  <w:num w:numId="6">
    <w:abstractNumId w:val="5"/>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footnotePr>
    <w:footnote w:id="-1"/>
    <w:footnote w:id="0"/>
  </w:footnotePr>
  <w:endnotePr>
    <w:endnote w:id="-1"/>
    <w:endnote w:id="0"/>
  </w:endnotePr>
  <w:compat>
    <w:useFELayout/>
  </w:compat>
  <w:rsids>
    <w:rsidRoot w:val="00B52C5C"/>
    <w:rsid w:val="00014A63"/>
    <w:rsid w:val="000B5DFA"/>
    <w:rsid w:val="000C1E5C"/>
    <w:rsid w:val="001014FA"/>
    <w:rsid w:val="001B0FBC"/>
    <w:rsid w:val="003772AD"/>
    <w:rsid w:val="003C6D8E"/>
    <w:rsid w:val="003E7AD5"/>
    <w:rsid w:val="00403F18"/>
    <w:rsid w:val="00427270"/>
    <w:rsid w:val="00454972"/>
    <w:rsid w:val="00485F25"/>
    <w:rsid w:val="004C1C25"/>
    <w:rsid w:val="004E17C5"/>
    <w:rsid w:val="005202E9"/>
    <w:rsid w:val="0057461C"/>
    <w:rsid w:val="005B2D79"/>
    <w:rsid w:val="006075C1"/>
    <w:rsid w:val="0066658A"/>
    <w:rsid w:val="006B712D"/>
    <w:rsid w:val="0070287B"/>
    <w:rsid w:val="00714CA0"/>
    <w:rsid w:val="00754856"/>
    <w:rsid w:val="0076307D"/>
    <w:rsid w:val="00772F58"/>
    <w:rsid w:val="007D3F8D"/>
    <w:rsid w:val="00801C57"/>
    <w:rsid w:val="00806835"/>
    <w:rsid w:val="00823F46"/>
    <w:rsid w:val="008507D2"/>
    <w:rsid w:val="00887F4F"/>
    <w:rsid w:val="008B5547"/>
    <w:rsid w:val="008B6D32"/>
    <w:rsid w:val="009143A5"/>
    <w:rsid w:val="009179BE"/>
    <w:rsid w:val="00951101"/>
    <w:rsid w:val="00966167"/>
    <w:rsid w:val="009D07A2"/>
    <w:rsid w:val="009F56FE"/>
    <w:rsid w:val="00A13463"/>
    <w:rsid w:val="00A17AC0"/>
    <w:rsid w:val="00A67201"/>
    <w:rsid w:val="00AA19C4"/>
    <w:rsid w:val="00B12C6C"/>
    <w:rsid w:val="00B45CDD"/>
    <w:rsid w:val="00B52C5C"/>
    <w:rsid w:val="00BA333D"/>
    <w:rsid w:val="00BB134C"/>
    <w:rsid w:val="00BE5462"/>
    <w:rsid w:val="00C64A9F"/>
    <w:rsid w:val="00CA15E1"/>
    <w:rsid w:val="00D10418"/>
    <w:rsid w:val="00D251A6"/>
    <w:rsid w:val="00D25A1A"/>
    <w:rsid w:val="00DA6845"/>
    <w:rsid w:val="00DF47A0"/>
    <w:rsid w:val="00E03919"/>
    <w:rsid w:val="00E05B13"/>
    <w:rsid w:val="00E2456D"/>
    <w:rsid w:val="00E543C8"/>
    <w:rsid w:val="00E72C1D"/>
    <w:rsid w:val="00E767A3"/>
    <w:rsid w:val="00E957F7"/>
    <w:rsid w:val="00EA5B7C"/>
    <w:rsid w:val="00EB50EB"/>
    <w:rsid w:val="00EC4F8A"/>
    <w:rsid w:val="00F839E3"/>
    <w:rsid w:val="00F9245A"/>
    <w:rsid w:val="00FC050A"/>
    <w:rsid w:val="00FE5C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5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C5C"/>
    <w:pPr>
      <w:ind w:left="720"/>
    </w:pPr>
    <w:rPr>
      <w:rFonts w:ascii="Calibri" w:eastAsia="Times New Roman" w:hAnsi="Calibri" w:cs="Calibri"/>
    </w:rPr>
  </w:style>
  <w:style w:type="paragraph" w:styleId="a4">
    <w:name w:val="Balloon Text"/>
    <w:basedOn w:val="a"/>
    <w:link w:val="Char"/>
    <w:uiPriority w:val="99"/>
    <w:semiHidden/>
    <w:unhideWhenUsed/>
    <w:rsid w:val="00B52C5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2C5C"/>
    <w:rPr>
      <w:rFonts w:ascii="Tahoma" w:hAnsi="Tahoma" w:cs="Tahoma"/>
      <w:sz w:val="16"/>
      <w:szCs w:val="16"/>
    </w:rPr>
  </w:style>
  <w:style w:type="paragraph" w:styleId="a5">
    <w:name w:val="header"/>
    <w:basedOn w:val="a"/>
    <w:link w:val="Char0"/>
    <w:uiPriority w:val="99"/>
    <w:semiHidden/>
    <w:unhideWhenUsed/>
    <w:rsid w:val="003772AD"/>
    <w:pPr>
      <w:tabs>
        <w:tab w:val="center" w:pos="4153"/>
        <w:tab w:val="right" w:pos="8306"/>
      </w:tabs>
      <w:spacing w:after="0" w:line="240" w:lineRule="auto"/>
    </w:pPr>
  </w:style>
  <w:style w:type="character" w:customStyle="1" w:styleId="Char0">
    <w:name w:val="رأس صفحة Char"/>
    <w:basedOn w:val="a0"/>
    <w:link w:val="a5"/>
    <w:uiPriority w:val="99"/>
    <w:semiHidden/>
    <w:rsid w:val="003772AD"/>
  </w:style>
  <w:style w:type="paragraph" w:styleId="a6">
    <w:name w:val="footer"/>
    <w:basedOn w:val="a"/>
    <w:link w:val="Char1"/>
    <w:uiPriority w:val="99"/>
    <w:unhideWhenUsed/>
    <w:rsid w:val="003772AD"/>
    <w:pPr>
      <w:tabs>
        <w:tab w:val="center" w:pos="4153"/>
        <w:tab w:val="right" w:pos="8306"/>
      </w:tabs>
      <w:spacing w:after="0" w:line="240" w:lineRule="auto"/>
    </w:pPr>
  </w:style>
  <w:style w:type="character" w:customStyle="1" w:styleId="Char1">
    <w:name w:val="تذييل صفحة Char"/>
    <w:basedOn w:val="a0"/>
    <w:link w:val="a6"/>
    <w:uiPriority w:val="99"/>
    <w:rsid w:val="003772AD"/>
  </w:style>
  <w:style w:type="paragraph" w:styleId="a7">
    <w:name w:val="footnote text"/>
    <w:basedOn w:val="a"/>
    <w:link w:val="Char2"/>
    <w:uiPriority w:val="99"/>
    <w:semiHidden/>
    <w:unhideWhenUsed/>
    <w:rsid w:val="00823F46"/>
    <w:pPr>
      <w:spacing w:after="0" w:line="240" w:lineRule="auto"/>
    </w:pPr>
    <w:rPr>
      <w:sz w:val="20"/>
      <w:szCs w:val="20"/>
    </w:rPr>
  </w:style>
  <w:style w:type="character" w:customStyle="1" w:styleId="Char2">
    <w:name w:val="نص حاشية سفلية Char"/>
    <w:basedOn w:val="a0"/>
    <w:link w:val="a7"/>
    <w:uiPriority w:val="99"/>
    <w:semiHidden/>
    <w:rsid w:val="00823F46"/>
    <w:rPr>
      <w:sz w:val="20"/>
      <w:szCs w:val="20"/>
    </w:rPr>
  </w:style>
  <w:style w:type="character" w:styleId="a8">
    <w:name w:val="footnote reference"/>
    <w:basedOn w:val="a0"/>
    <w:uiPriority w:val="99"/>
    <w:semiHidden/>
    <w:unhideWhenUsed/>
    <w:rsid w:val="00823F46"/>
    <w:rPr>
      <w:vertAlign w:val="superscript"/>
    </w:rPr>
  </w:style>
  <w:style w:type="paragraph" w:customStyle="1" w:styleId="Default">
    <w:name w:val="Default"/>
    <w:rsid w:val="008507D2"/>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8507D2"/>
    <w:pPr>
      <w:spacing w:line="241" w:lineRule="atLeast"/>
    </w:pPr>
    <w:rPr>
      <w:rFonts w:cstheme="minorBidi"/>
      <w:color w:val="auto"/>
    </w:rPr>
  </w:style>
  <w:style w:type="character" w:customStyle="1" w:styleId="A00">
    <w:name w:val="A0"/>
    <w:uiPriority w:val="99"/>
    <w:rsid w:val="008507D2"/>
    <w:rPr>
      <w:rFonts w:cs="Myriad Pro"/>
      <w:b/>
      <w:bCs/>
      <w:color w:val="000000"/>
      <w:sz w:val="20"/>
      <w:szCs w:val="20"/>
    </w:rPr>
  </w:style>
  <w:style w:type="paragraph" w:customStyle="1" w:styleId="Pa3">
    <w:name w:val="Pa3"/>
    <w:basedOn w:val="Default"/>
    <w:next w:val="Default"/>
    <w:uiPriority w:val="99"/>
    <w:rsid w:val="008507D2"/>
    <w:pPr>
      <w:spacing w:line="241" w:lineRule="atLeast"/>
    </w:pPr>
    <w:rPr>
      <w:rFonts w:cstheme="minorBidi"/>
      <w:color w:val="auto"/>
    </w:rPr>
  </w:style>
  <w:style w:type="character" w:customStyle="1" w:styleId="A10">
    <w:name w:val="A1"/>
    <w:uiPriority w:val="99"/>
    <w:rsid w:val="008507D2"/>
    <w:rPr>
      <w:rFonts w:cs="Myriad Pro"/>
      <w:color w:val="000000"/>
      <w:sz w:val="18"/>
      <w:szCs w:val="18"/>
    </w:rPr>
  </w:style>
  <w:style w:type="character" w:customStyle="1" w:styleId="A80">
    <w:name w:val="A8"/>
    <w:uiPriority w:val="99"/>
    <w:rsid w:val="008507D2"/>
    <w:rPr>
      <w:rFonts w:cs="Myriad Pro"/>
      <w:color w:val="000000"/>
      <w:sz w:val="10"/>
      <w:szCs w:val="10"/>
    </w:rPr>
  </w:style>
  <w:style w:type="paragraph" w:customStyle="1" w:styleId="Pa12">
    <w:name w:val="Pa12"/>
    <w:basedOn w:val="Default"/>
    <w:next w:val="Default"/>
    <w:uiPriority w:val="99"/>
    <w:rsid w:val="008507D2"/>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050151850">
      <w:bodyDiv w:val="1"/>
      <w:marLeft w:val="0"/>
      <w:marRight w:val="0"/>
      <w:marTop w:val="0"/>
      <w:marBottom w:val="0"/>
      <w:divBdr>
        <w:top w:val="none" w:sz="0" w:space="0" w:color="auto"/>
        <w:left w:val="none" w:sz="0" w:space="0" w:color="auto"/>
        <w:bottom w:val="none" w:sz="0" w:space="0" w:color="auto"/>
        <w:right w:val="none" w:sz="0" w:space="0" w:color="auto"/>
      </w:divBdr>
    </w:div>
    <w:div w:id="1293318156">
      <w:bodyDiv w:val="1"/>
      <w:marLeft w:val="0"/>
      <w:marRight w:val="0"/>
      <w:marTop w:val="0"/>
      <w:marBottom w:val="0"/>
      <w:divBdr>
        <w:top w:val="none" w:sz="0" w:space="0" w:color="auto"/>
        <w:left w:val="none" w:sz="0" w:space="0" w:color="auto"/>
        <w:bottom w:val="none" w:sz="0" w:space="0" w:color="auto"/>
        <w:right w:val="none" w:sz="0" w:space="0" w:color="auto"/>
      </w:divBdr>
    </w:div>
    <w:div w:id="16089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91AE59-2582-4BB8-9CB0-C79D9DFB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22</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Ajami</dc:creator>
  <cp:keywords/>
  <dc:description/>
  <cp:lastModifiedBy>abd algny</cp:lastModifiedBy>
  <cp:revision>22</cp:revision>
  <dcterms:created xsi:type="dcterms:W3CDTF">2009-07-06T21:47:00Z</dcterms:created>
  <dcterms:modified xsi:type="dcterms:W3CDTF">2010-04-20T19:20:00Z</dcterms:modified>
</cp:coreProperties>
</file>